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bookmarkStart w:id="0" w:name="_GoBack"/>
      <w:bookmarkEnd w:id="0"/>
    </w:p>
    <w:p w14:paraId="294D112B" w14:textId="77777777" w:rsidR="000B7810" w:rsidRDefault="000B7810" w:rsidP="00CB41C4">
      <w:pPr>
        <w:tabs>
          <w:tab w:val="left" w:leader="underscore" w:pos="9639"/>
        </w:tabs>
        <w:spacing w:after="0" w:line="240" w:lineRule="auto"/>
        <w:jc w:val="center"/>
        <w:rPr>
          <w:rFonts w:ascii="Times New Roman" w:hAnsi="Times New Roman"/>
          <w:sz w:val="24"/>
          <w:szCs w:val="24"/>
        </w:rPr>
      </w:pPr>
    </w:p>
    <w:p w14:paraId="095A31C3" w14:textId="77777777" w:rsidR="0089151C" w:rsidRPr="00657009" w:rsidRDefault="0089151C" w:rsidP="00CB41C4">
      <w:pPr>
        <w:tabs>
          <w:tab w:val="left" w:leader="underscore" w:pos="9639"/>
        </w:tabs>
        <w:spacing w:after="0" w:line="240" w:lineRule="auto"/>
        <w:jc w:val="center"/>
        <w:rPr>
          <w:rFonts w:ascii="Times New Roman" w:hAnsi="Times New Roman"/>
          <w:sz w:val="24"/>
          <w:szCs w:val="24"/>
        </w:rPr>
      </w:pPr>
    </w:p>
    <w:p w14:paraId="67780918" w14:textId="77777777" w:rsidR="0089151C" w:rsidRPr="0089151C" w:rsidRDefault="0089151C" w:rsidP="0089151C">
      <w:pPr>
        <w:spacing w:after="0" w:line="240" w:lineRule="exact"/>
        <w:jc w:val="center"/>
        <w:rPr>
          <w:rFonts w:ascii="Arial" w:eastAsia="Times New Roman" w:hAnsi="Arial" w:cs="Arial"/>
          <w:b/>
          <w:sz w:val="20"/>
          <w:szCs w:val="20"/>
          <w:lang w:eastAsia="es-ES"/>
        </w:rPr>
      </w:pPr>
      <w:r w:rsidRPr="0089151C">
        <w:rPr>
          <w:rFonts w:ascii="Arial" w:eastAsia="Times New Roman" w:hAnsi="Arial" w:cs="Arial"/>
          <w:b/>
          <w:sz w:val="20"/>
          <w:szCs w:val="20"/>
          <w:lang w:eastAsia="es-ES"/>
        </w:rPr>
        <w:t>c) NOTAS DE GESTIÓN ADMINISTRATIVA</w:t>
      </w:r>
    </w:p>
    <w:p w14:paraId="0301D5D5" w14:textId="77777777" w:rsidR="0089151C" w:rsidRPr="0089151C" w:rsidRDefault="0089151C" w:rsidP="0089151C">
      <w:pPr>
        <w:spacing w:after="0" w:line="240" w:lineRule="exact"/>
        <w:jc w:val="center"/>
        <w:rPr>
          <w:rFonts w:ascii="Arial" w:eastAsia="Times New Roman" w:hAnsi="Arial" w:cs="Arial"/>
          <w:b/>
          <w:sz w:val="20"/>
          <w:szCs w:val="20"/>
          <w:lang w:eastAsia="es-ES"/>
        </w:rPr>
      </w:pPr>
    </w:p>
    <w:p w14:paraId="7875065F" w14:textId="77777777" w:rsidR="0089151C" w:rsidRPr="0089151C" w:rsidRDefault="0089151C" w:rsidP="0089151C">
      <w:pPr>
        <w:keepNext/>
        <w:keepLines/>
        <w:numPr>
          <w:ilvl w:val="0"/>
          <w:numId w:val="2"/>
        </w:numPr>
        <w:spacing w:before="40" w:after="0" w:line="240" w:lineRule="auto"/>
        <w:outlineLvl w:val="1"/>
        <w:rPr>
          <w:rFonts w:ascii="Arial" w:eastAsia="Times New Roman" w:hAnsi="Arial" w:cs="Arial"/>
          <w:b/>
          <w:sz w:val="20"/>
          <w:szCs w:val="20"/>
          <w:lang w:val="es-ES" w:eastAsia="es-ES"/>
        </w:rPr>
      </w:pPr>
      <w:bookmarkStart w:id="1" w:name="_Toc508279621"/>
      <w:r w:rsidRPr="0089151C">
        <w:rPr>
          <w:rFonts w:ascii="Arial" w:eastAsia="Times New Roman" w:hAnsi="Arial" w:cs="Arial"/>
          <w:b/>
          <w:sz w:val="20"/>
          <w:szCs w:val="20"/>
          <w:lang w:val="es-ES" w:eastAsia="es-ES"/>
        </w:rPr>
        <w:t>Introducción:</w:t>
      </w:r>
      <w:bookmarkEnd w:id="1"/>
    </w:p>
    <w:p w14:paraId="3C825AFB" w14:textId="03E2B100" w:rsidR="0089151C" w:rsidRPr="0089151C" w:rsidRDefault="00E42821" w:rsidP="0089151C">
      <w:pPr>
        <w:rPr>
          <w:rFonts w:ascii="Arial" w:hAnsi="Arial" w:cs="Arial"/>
          <w:sz w:val="20"/>
          <w:szCs w:val="20"/>
          <w:lang w:val="es-ES" w:eastAsia="es-ES"/>
        </w:rPr>
      </w:pPr>
      <w:r>
        <w:rPr>
          <w:rFonts w:ascii="Arial" w:hAnsi="Arial" w:cs="Arial"/>
          <w:sz w:val="20"/>
          <w:szCs w:val="20"/>
          <w:lang w:val="es-ES" w:eastAsia="es-ES"/>
        </w:rPr>
        <w:t xml:space="preserve">El ITESS </w:t>
      </w:r>
      <w:r w:rsidR="0089151C" w:rsidRPr="0089151C">
        <w:rPr>
          <w:rFonts w:ascii="Arial" w:hAnsi="Arial" w:cs="Arial"/>
          <w:sz w:val="20"/>
          <w:szCs w:val="20"/>
          <w:lang w:val="es-ES" w:eastAsia="es-ES"/>
        </w:rPr>
        <w:t>es una institución de relativamente reciente creación y su actividad consiste principalmente en formar profesionistas para lograr el desarrollo económico y cultural del estado de Guanajuato el cual ha venido incrementando su matrícula en el ciclo 2018 - 2019 de 1,190 en el ciclo 2019 - 2020 de 1,346 y se espera una matrícula del ciclo 2020-2021 de 1360 estudiantes distribuidos en sus 5 carreras ofertadas.</w:t>
      </w:r>
    </w:p>
    <w:p w14:paraId="6FE9325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2" w:name="_Toc508279622"/>
      <w:r w:rsidRPr="0089151C">
        <w:rPr>
          <w:rFonts w:ascii="Arial" w:eastAsia="Times New Roman" w:hAnsi="Arial" w:cs="Arial"/>
          <w:b/>
          <w:sz w:val="20"/>
          <w:szCs w:val="20"/>
          <w:lang w:val="es-ES" w:eastAsia="es-ES"/>
        </w:rPr>
        <w:t>2. Describir el panorama Económico y Financiero:</w:t>
      </w:r>
      <w:bookmarkEnd w:id="2"/>
    </w:p>
    <w:p w14:paraId="603C0CD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 las principales condiciones económico-financieras bajo las cuales el ente público estuvo operando; y las cuales influyeron en la toma de decisiones de la administración; tanto a nivel local como federal.</w:t>
      </w:r>
    </w:p>
    <w:p w14:paraId="7AC47B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5EB6519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3" w:name="_Toc508279623"/>
      <w:r w:rsidRPr="0089151C">
        <w:rPr>
          <w:rFonts w:ascii="Arial" w:eastAsia="Times New Roman" w:hAnsi="Arial" w:cs="Arial"/>
          <w:b/>
          <w:sz w:val="20"/>
          <w:szCs w:val="20"/>
          <w:lang w:val="es-ES" w:eastAsia="es-ES"/>
        </w:rPr>
        <w:t>3. Autorización e Historia:</w:t>
      </w:r>
      <w:bookmarkEnd w:id="3"/>
    </w:p>
    <w:p w14:paraId="13655C4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a)   Fecha de creación del ente. La institución nace por decreto en agosto de 2009.</w:t>
      </w:r>
    </w:p>
    <w:p w14:paraId="329220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Principales cambios en su estructura (interna históricamente).</w:t>
      </w:r>
    </w:p>
    <w:p w14:paraId="2AE67F81"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Por incremento de matrícula pasó de estructura B a C. Por la matrícula al contar con una Matrícula de más de 1000 alumnos</w:t>
      </w:r>
    </w:p>
    <w:p w14:paraId="67B64D94"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4" w:name="_Toc508279624"/>
      <w:r w:rsidRPr="0089151C">
        <w:rPr>
          <w:rFonts w:ascii="Arial" w:eastAsia="Times New Roman" w:hAnsi="Arial" w:cs="Arial"/>
          <w:b/>
          <w:sz w:val="20"/>
          <w:szCs w:val="20"/>
          <w:lang w:val="es-ES" w:eastAsia="es-ES"/>
        </w:rPr>
        <w:t>4. Organización y Objeto Social:</w:t>
      </w:r>
      <w:bookmarkEnd w:id="4"/>
    </w:p>
    <w:p w14:paraId="57CB1F2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2677D738" w14:textId="70C31C21"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Objeto social: Contribuir, a través del proceso educat</w:t>
      </w:r>
      <w:r w:rsidR="00E42821">
        <w:rPr>
          <w:rFonts w:ascii="Arial" w:hAnsi="Arial" w:cs="Arial"/>
          <w:sz w:val="20"/>
          <w:szCs w:val="20"/>
          <w:lang w:val="es-ES" w:eastAsia="es-ES"/>
        </w:rPr>
        <w:t xml:space="preserve">ivo, a mejorar las condiciones </w:t>
      </w:r>
      <w:r w:rsidRPr="0089151C">
        <w:rPr>
          <w:rFonts w:ascii="Arial" w:hAnsi="Arial" w:cs="Arial"/>
          <w:sz w:val="20"/>
          <w:szCs w:val="20"/>
          <w:lang w:val="es-ES" w:eastAsia="es-ES"/>
        </w:rPr>
        <w:t>de vida de los guanajuatenses</w:t>
      </w:r>
    </w:p>
    <w:p w14:paraId="5E8838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 actividad. Ofertar Educación Superior Tecnológica</w:t>
      </w:r>
    </w:p>
    <w:p w14:paraId="2C7C7D23" w14:textId="03AEADA5" w:rsidR="00F415DA"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Ejercicio </w:t>
      </w:r>
      <w:r w:rsidR="00F415DA" w:rsidRPr="0089151C">
        <w:rPr>
          <w:rFonts w:ascii="Arial" w:hAnsi="Arial" w:cs="Arial"/>
          <w:sz w:val="20"/>
          <w:szCs w:val="20"/>
          <w:lang w:val="es-ES" w:eastAsia="es-ES"/>
        </w:rPr>
        <w:t>fi</w:t>
      </w:r>
      <w:r w:rsidR="00F415DA">
        <w:rPr>
          <w:rFonts w:ascii="Arial" w:hAnsi="Arial" w:cs="Arial"/>
          <w:sz w:val="20"/>
          <w:szCs w:val="20"/>
          <w:lang w:val="es-ES" w:eastAsia="es-ES"/>
        </w:rPr>
        <w:t>scal: Enero a diciembre de 2021</w:t>
      </w:r>
    </w:p>
    <w:p w14:paraId="2AFE295C" w14:textId="3ED96DB3"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w:t>
      </w:r>
    </w:p>
    <w:p w14:paraId="738568C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Régimen jurídico (Forma como está dada de alta la entidad ante la S.H.C.P. Personas morales sin fines de lucro, etc.).</w:t>
      </w:r>
    </w:p>
    <w:p w14:paraId="6011FA5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Personas morales sin fines de lucro.</w:t>
      </w:r>
    </w:p>
    <w:p w14:paraId="2CBD468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Consideraciones fiscales del ente: Revelar el tipo de contribuciones que esté obligado a pagar o retener.</w:t>
      </w:r>
    </w:p>
    <w:p w14:paraId="744867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Retener y Enterar ISR por Salarios, Retener y enterar ISR por arrendamiento, Retener y enterar ISR por retención sobre honorarios. Impuesto estatal sobre nóminas, Retener y enterar impuesto estatal cedular por honorarios y arrendamiento</w:t>
      </w:r>
    </w:p>
    <w:p w14:paraId="18B6FF3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692AC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Estructura organizacional básica.</w:t>
      </w:r>
    </w:p>
    <w:p w14:paraId="409C1487" w14:textId="77777777" w:rsidR="0089151C" w:rsidRPr="0089151C" w:rsidRDefault="0089151C" w:rsidP="0089151C">
      <w:pPr>
        <w:tabs>
          <w:tab w:val="left" w:leader="underscore" w:pos="9639"/>
        </w:tabs>
        <w:spacing w:after="0" w:line="240" w:lineRule="auto"/>
        <w:ind w:firstLine="708"/>
        <w:jc w:val="both"/>
        <w:rPr>
          <w:rFonts w:ascii="Arial" w:hAnsi="Arial" w:cs="Arial"/>
          <w:sz w:val="20"/>
          <w:szCs w:val="20"/>
          <w:lang w:val="es-ES" w:eastAsia="es-ES"/>
        </w:rPr>
      </w:pPr>
      <w:r w:rsidRPr="0089151C">
        <w:rPr>
          <w:rFonts w:ascii="Arial" w:hAnsi="Arial" w:cs="Arial"/>
          <w:sz w:val="20"/>
          <w:szCs w:val="20"/>
          <w:lang w:val="es-ES" w:eastAsia="es-ES"/>
        </w:rPr>
        <w:t>*Anexar organigrama de la entidad.</w:t>
      </w:r>
    </w:p>
    <w:p w14:paraId="61A63F16" w14:textId="44D91BD0" w:rsidR="00E46E7C" w:rsidRDefault="00E46E7C" w:rsidP="00CB41C4">
      <w:pPr>
        <w:tabs>
          <w:tab w:val="left" w:leader="underscore" w:pos="9639"/>
        </w:tabs>
        <w:spacing w:after="0" w:line="240" w:lineRule="auto"/>
        <w:jc w:val="both"/>
        <w:rPr>
          <w:rFonts w:cs="Calibri"/>
        </w:rPr>
      </w:pPr>
    </w:p>
    <w:p w14:paraId="1F7F5EF0" w14:textId="77777777" w:rsidR="0089151C" w:rsidRDefault="0089151C" w:rsidP="00CB41C4">
      <w:pPr>
        <w:tabs>
          <w:tab w:val="left" w:leader="underscore" w:pos="9639"/>
        </w:tabs>
        <w:spacing w:after="0" w:line="240" w:lineRule="auto"/>
        <w:jc w:val="both"/>
        <w:rPr>
          <w:rFonts w:cs="Calibri"/>
        </w:rPr>
      </w:pPr>
    </w:p>
    <w:p w14:paraId="7469CF3D" w14:textId="77777777" w:rsidR="0089151C" w:rsidRDefault="0089151C" w:rsidP="00CB41C4">
      <w:pPr>
        <w:tabs>
          <w:tab w:val="left" w:leader="underscore" w:pos="9639"/>
        </w:tabs>
        <w:spacing w:after="0" w:line="240" w:lineRule="auto"/>
        <w:jc w:val="both"/>
        <w:rPr>
          <w:rFonts w:cs="Calibri"/>
        </w:rPr>
      </w:pPr>
    </w:p>
    <w:p w14:paraId="1A403DE4" w14:textId="77777777" w:rsidR="0089151C" w:rsidRDefault="0089151C" w:rsidP="00CB41C4">
      <w:pPr>
        <w:tabs>
          <w:tab w:val="left" w:leader="underscore" w:pos="9639"/>
        </w:tabs>
        <w:spacing w:after="0" w:line="240" w:lineRule="auto"/>
        <w:jc w:val="both"/>
        <w:rPr>
          <w:rFonts w:cs="Calibri"/>
        </w:rPr>
      </w:pPr>
    </w:p>
    <w:p w14:paraId="2D930881" w14:textId="3D3C718A" w:rsidR="0089151C" w:rsidRDefault="0089151C" w:rsidP="00CB41C4">
      <w:pPr>
        <w:tabs>
          <w:tab w:val="left" w:leader="underscore" w:pos="9639"/>
        </w:tabs>
        <w:spacing w:after="0" w:line="240" w:lineRule="auto"/>
        <w:jc w:val="both"/>
        <w:rPr>
          <w:rFonts w:cs="Calibri"/>
        </w:rPr>
      </w:pPr>
      <w:r>
        <w:rPr>
          <w:noProof/>
          <w:lang w:eastAsia="es-MX"/>
        </w:rPr>
        <w:drawing>
          <wp:inline distT="0" distB="0" distL="0" distR="0" wp14:anchorId="52DC7EF1" wp14:editId="6FFECC26">
            <wp:extent cx="8134185" cy="5557520"/>
            <wp:effectExtent l="0" t="0" r="635"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3202" cy="5563680"/>
                    </a:xfrm>
                    <a:prstGeom prst="rect">
                      <a:avLst/>
                    </a:prstGeom>
                    <a:noFill/>
                  </pic:spPr>
                </pic:pic>
              </a:graphicData>
            </a:graphic>
          </wp:inline>
        </w:drawing>
      </w:r>
    </w:p>
    <w:p w14:paraId="1CEABD86" w14:textId="77777777" w:rsidR="0089151C" w:rsidRDefault="0089151C" w:rsidP="00CB41C4">
      <w:pPr>
        <w:tabs>
          <w:tab w:val="left" w:leader="underscore" w:pos="9639"/>
        </w:tabs>
        <w:spacing w:after="0" w:line="240" w:lineRule="auto"/>
        <w:jc w:val="both"/>
        <w:rPr>
          <w:rFonts w:cs="Calibri"/>
        </w:rPr>
      </w:pPr>
    </w:p>
    <w:p w14:paraId="77424718" w14:textId="77777777" w:rsidR="0089151C" w:rsidRDefault="0089151C" w:rsidP="00CB41C4">
      <w:pPr>
        <w:tabs>
          <w:tab w:val="left" w:leader="underscore" w:pos="9639"/>
        </w:tabs>
        <w:spacing w:after="0" w:line="240" w:lineRule="auto"/>
        <w:jc w:val="both"/>
        <w:rPr>
          <w:rFonts w:cs="Calibri"/>
        </w:rPr>
      </w:pPr>
    </w:p>
    <w:p w14:paraId="77FC00E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Fideicomisos, mandatos y análogos de los cuales es fideicomitente o fideicomisario.</w:t>
      </w:r>
    </w:p>
    <w:p w14:paraId="19BABDA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APLICA ya que no contamos con ninguna figura de este tipo</w:t>
      </w:r>
    </w:p>
    <w:p w14:paraId="2C09E07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5" w:name="_Toc508279625"/>
      <w:r w:rsidRPr="0089151C">
        <w:rPr>
          <w:rFonts w:ascii="Arial" w:eastAsia="Times New Roman" w:hAnsi="Arial" w:cs="Arial"/>
          <w:b/>
          <w:sz w:val="20"/>
          <w:szCs w:val="20"/>
          <w:lang w:val="es-ES" w:eastAsia="es-ES"/>
        </w:rPr>
        <w:t>5. Bases de Preparación de los Estados Financieros:</w:t>
      </w:r>
      <w:bookmarkEnd w:id="5"/>
    </w:p>
    <w:p w14:paraId="11F535A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0718549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Si se ha observado la normatividad emitida por el CONAC y las disposiciones legales aplicables.</w:t>
      </w:r>
    </w:p>
    <w:p w14:paraId="4B72B1B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Sí, se han revisado los documentos normativos relacionados con los Estados Financieros (Normas y Metodología para la emisión de información financiera y estructura de los estados financieros básicos del ente público y características de sus notas.</w:t>
      </w:r>
    </w:p>
    <w:p w14:paraId="0A17EF6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3471D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Al conocer los documentos de CONAC se comprende lo antes mencionado. (Principales reglas de registro y valoración del patrimonio, así como las reglas específicas del registro y valoración del patrimonio)</w:t>
      </w:r>
    </w:p>
    <w:p w14:paraId="6A40B9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Postulados básicos.</w:t>
      </w:r>
    </w:p>
    <w:p w14:paraId="5018B08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14:paraId="5E39D74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ENTE PÚBLICO El organismo cuenta con el Reglamento Orgánico, en el que se establecen sus objetivos, su ámbito de acción y sus limitaciones; con atribuciones para asumir derechos y contraer obligaciones.</w:t>
      </w:r>
    </w:p>
    <w:p w14:paraId="6C04B8A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EXISTENCIA PERMANENTE La actividad del organismo público al no tener fecha de término se asume por tiempo indefinido, por lo que el sistema contable del organismo es considerado por el mismo periodo de vida.</w:t>
      </w:r>
    </w:p>
    <w:p w14:paraId="0C2BB94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REVELACION SUFICIENTE Los estados y la información financiera muestran amplia y claramente la situación financiera y los resultados del organismo.</w:t>
      </w:r>
    </w:p>
    <w:p w14:paraId="04709D7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IMPORTANCIA RELATIVA La información correspondiente al presente periodo muestran los aspectos más importantes de la entidad que fueron reconocidos contablemente. </w:t>
      </w:r>
    </w:p>
    <w:p w14:paraId="6F556D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REGISTRO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14:paraId="3B4BBD6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14:paraId="63AE244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14:paraId="2AB3C94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PERIODO CONTABLE La vida del organismo se divide en períodos uniformes del año calendario, correspondiendo al presente ejercicio 2019.</w:t>
      </w:r>
    </w:p>
    <w:p w14:paraId="4E3CCBA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VALUACION Todos los eventos que afectaron económicamente al organismo en el periodo que se informa se cuantificaron en términos monetarios y se registraron a costo histórico y en moneda nacional.</w:t>
      </w:r>
    </w:p>
    <w:p w14:paraId="0D5DCE5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14:paraId="62C19F1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lastRenderedPageBreak/>
        <w:t>CONSISTENCIA En operaciones similares realizadas en el organismo, se aplicó de manera sistemática un mismo criterio de tratamiento contable. Las Bases de Preparación de los Estados Financieros aplican los Postulados Básicos.</w:t>
      </w:r>
    </w:p>
    <w:p w14:paraId="3900499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5B14B7D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se aplicó ninguna norma supletoria.</w:t>
      </w:r>
    </w:p>
    <w:p w14:paraId="44DEA37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Para las entidades que por primera vez estén implementando la base devengado de acuerdo a la Ley de Contabilidad, deberán:</w:t>
      </w:r>
    </w:p>
    <w:p w14:paraId="2C3170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las nuevas políticas de reconocimiento: NO APLICA </w:t>
      </w:r>
    </w:p>
    <w:p w14:paraId="7FC45C7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*Plan de implementación: NO APLICA </w:t>
      </w:r>
    </w:p>
    <w:p w14:paraId="2B1C8E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los cambios en las políticas, la clasificación y medición de las mismas, así como su impacto en la información financiera: NO APLICA </w:t>
      </w:r>
    </w:p>
    <w:p w14:paraId="0180CCE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5417C28" w14:textId="77777777" w:rsidR="0089151C" w:rsidRPr="0089151C" w:rsidRDefault="0089151C" w:rsidP="0089151C">
      <w:pPr>
        <w:keepNext/>
        <w:keepLines/>
        <w:spacing w:before="40" w:after="0"/>
        <w:outlineLvl w:val="1"/>
        <w:rPr>
          <w:rFonts w:ascii="Arial" w:eastAsia="Times New Roman" w:hAnsi="Arial" w:cs="Arial"/>
          <w:b/>
          <w:color w:val="365F91"/>
          <w:sz w:val="20"/>
          <w:szCs w:val="20"/>
          <w:lang w:val="es-ES" w:eastAsia="es-ES"/>
        </w:rPr>
      </w:pPr>
      <w:bookmarkStart w:id="6" w:name="_Toc508279626"/>
      <w:r w:rsidRPr="0089151C">
        <w:rPr>
          <w:rFonts w:ascii="Arial" w:eastAsia="Times New Roman" w:hAnsi="Arial" w:cs="Arial"/>
          <w:b/>
          <w:sz w:val="20"/>
          <w:szCs w:val="20"/>
          <w:lang w:val="es-ES" w:eastAsia="es-ES"/>
        </w:rPr>
        <w:t>6. Políticas de Contabilidad Significativas:</w:t>
      </w:r>
      <w:bookmarkEnd w:id="6"/>
    </w:p>
    <w:p w14:paraId="7C44D3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Actualización: se informará del método utilizado para la actualización del valor de los activos, pasivos y Hacienda Pública/Patrimonio y las razones de dicha elección. Así como informar de la desconexión o reconexión inflacionaria: NO APLICA </w:t>
      </w:r>
    </w:p>
    <w:p w14:paraId="77818A1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Informar sobre la realización de operaciones en el extranjero y de sus efectos en la información financiera gubernamental: NO APLICA </w:t>
      </w:r>
    </w:p>
    <w:p w14:paraId="3F9BCAC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Método de valuación de la inversión en acciones de Compañías subsidiarias no consolidadas y asociadas: NO APLICA </w:t>
      </w:r>
    </w:p>
    <w:p w14:paraId="56C0261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Sistema y método de valuación de inventarios y costo de lo vendido: NO APLICA</w:t>
      </w:r>
    </w:p>
    <w:p w14:paraId="24811CD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Beneficios a empleados: revelar el cálculo de la reserva actuarial, valor presente de los ingresos esperados comparado con el valor presente de la estimación de gastos tanto de los beneficiarios actuales como futuros: NO APLICA </w:t>
      </w:r>
    </w:p>
    <w:p w14:paraId="083D171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Provisiones: objetivo de su creación, monto y plazo: NO APLICA </w:t>
      </w:r>
    </w:p>
    <w:p w14:paraId="2AAB87C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Reservas: objetivo de su creación, monto y plazo: NO APLICA</w:t>
      </w:r>
    </w:p>
    <w:p w14:paraId="118591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Cambios en políticas contables y corrección de errores junto con la revelación de los efectos que se tendrá en la información financiera del ente público, ya sea retrospectivos o prospectivos: NO APLICA</w:t>
      </w:r>
    </w:p>
    <w:p w14:paraId="4C196CF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i)</w:t>
      </w:r>
      <w:r w:rsidRPr="0089151C">
        <w:rPr>
          <w:rFonts w:ascii="Arial" w:hAnsi="Arial" w:cs="Arial"/>
          <w:sz w:val="20"/>
          <w:szCs w:val="20"/>
          <w:lang w:val="es-ES" w:eastAsia="es-ES"/>
        </w:rPr>
        <w:t xml:space="preserve"> Reclasificaciones: Se deben revelar todos aquellos movimientos entre cuentas por efectos de cambios en los tipos de operaciones: NO APLICA</w:t>
      </w:r>
    </w:p>
    <w:p w14:paraId="06754A9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j)</w:t>
      </w:r>
      <w:r w:rsidRPr="0089151C">
        <w:rPr>
          <w:rFonts w:ascii="Arial" w:hAnsi="Arial" w:cs="Arial"/>
          <w:sz w:val="20"/>
          <w:szCs w:val="20"/>
          <w:lang w:val="es-ES" w:eastAsia="es-ES"/>
        </w:rPr>
        <w:t xml:space="preserve"> Depuración y cancelación de saldos: NO APLICA</w:t>
      </w:r>
    </w:p>
    <w:p w14:paraId="5CBC6CE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3AAF47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7" w:name="_Toc508279627"/>
      <w:r w:rsidRPr="0089151C">
        <w:rPr>
          <w:rFonts w:ascii="Arial" w:eastAsia="Times New Roman" w:hAnsi="Arial" w:cs="Arial"/>
          <w:b/>
          <w:sz w:val="20"/>
          <w:szCs w:val="20"/>
          <w:lang w:val="es-ES" w:eastAsia="es-ES"/>
        </w:rPr>
        <w:t>7. Posición en Moneda Extranjera y Protección por Riesgo Cambiario:</w:t>
      </w:r>
      <w:bookmarkEnd w:id="7"/>
    </w:p>
    <w:p w14:paraId="10727B6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Activos en moneda extranjera: NO APLICA</w:t>
      </w:r>
    </w:p>
    <w:p w14:paraId="12F54BB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Pasivos en moneda extranjera: NO APLICA</w:t>
      </w:r>
    </w:p>
    <w:p w14:paraId="6766FD9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c) </w:t>
      </w:r>
      <w:r w:rsidRPr="0089151C">
        <w:rPr>
          <w:rFonts w:ascii="Arial" w:hAnsi="Arial" w:cs="Arial"/>
          <w:sz w:val="20"/>
          <w:szCs w:val="20"/>
          <w:lang w:val="es-ES" w:eastAsia="es-ES"/>
        </w:rPr>
        <w:t>Posición en moneda extranjera: NO APLICA</w:t>
      </w:r>
    </w:p>
    <w:p w14:paraId="751AFC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Tipo de cambio: NO APLICA</w:t>
      </w:r>
    </w:p>
    <w:p w14:paraId="2764A6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e) </w:t>
      </w:r>
      <w:r w:rsidRPr="0089151C">
        <w:rPr>
          <w:rFonts w:ascii="Arial" w:hAnsi="Arial" w:cs="Arial"/>
          <w:sz w:val="20"/>
          <w:szCs w:val="20"/>
          <w:lang w:val="es-ES" w:eastAsia="es-ES"/>
        </w:rPr>
        <w:t>Equivalente en moneda nacional: NO APLICA</w:t>
      </w:r>
    </w:p>
    <w:p w14:paraId="5B5EBBCA" w14:textId="77777777" w:rsidR="0089151C" w:rsidRPr="0089151C" w:rsidRDefault="0089151C" w:rsidP="0089151C">
      <w:pPr>
        <w:spacing w:after="0" w:line="240" w:lineRule="auto"/>
        <w:rPr>
          <w:rFonts w:ascii="Arial" w:eastAsia="Times New Roman" w:hAnsi="Arial" w:cs="Arial"/>
          <w:b/>
          <w:sz w:val="20"/>
          <w:szCs w:val="20"/>
          <w:lang w:val="es-ES" w:eastAsia="es-ES"/>
        </w:rPr>
      </w:pPr>
    </w:p>
    <w:p w14:paraId="5C57279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8" w:name="_Toc508279628"/>
      <w:r w:rsidRPr="0089151C">
        <w:rPr>
          <w:rFonts w:ascii="Arial" w:eastAsia="Times New Roman" w:hAnsi="Arial" w:cs="Arial"/>
          <w:b/>
          <w:sz w:val="20"/>
          <w:szCs w:val="20"/>
          <w:lang w:val="es-ES" w:eastAsia="es-ES"/>
        </w:rPr>
        <w:t>8. Reporte Analítico del Activo:</w:t>
      </w:r>
      <w:bookmarkEnd w:id="8"/>
    </w:p>
    <w:p w14:paraId="1697E68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Vida útil o porcentajes de depreciación, deterioro o amortización utilizados en los diferentes tipos de activos:</w:t>
      </w:r>
    </w:p>
    <w:p w14:paraId="5C74059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APICAN LOS ESTABLECIDOS EN CONAC</w:t>
      </w:r>
    </w:p>
    <w:p w14:paraId="6A063F7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Cambios en el porcentaje de depreciación o valor residual de los activos: NO APLICA</w:t>
      </w:r>
    </w:p>
    <w:p w14:paraId="0CBD0C5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Importe de los gastos capitalizados en el ejercicio, tanto financieros como de investigación y desarrollo: NO APLICA</w:t>
      </w:r>
    </w:p>
    <w:p w14:paraId="4B8E950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Riesgos por tipo de cambio o tipo de interés de las inversiones financieras: NO APLICA</w:t>
      </w:r>
    </w:p>
    <w:p w14:paraId="37F930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 xml:space="preserve">e) </w:t>
      </w:r>
      <w:r w:rsidRPr="0089151C">
        <w:rPr>
          <w:rFonts w:ascii="Arial" w:hAnsi="Arial" w:cs="Arial"/>
          <w:sz w:val="20"/>
          <w:szCs w:val="20"/>
          <w:lang w:val="es-ES" w:eastAsia="es-ES"/>
        </w:rPr>
        <w:t>Valor activado en el ejercicio de los bienes construidos por la entidad: NO APLICA</w:t>
      </w:r>
    </w:p>
    <w:p w14:paraId="6DB9EC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Otras circunstancias de carácter significativo que afecten el activo, tales como bienes en garantía, señalados en embargos, litigios, títulos de inversiones entregados en garantías, baja significativa del valor de inversiones financieras, etc.: NO APLICA</w:t>
      </w:r>
    </w:p>
    <w:p w14:paraId="10A01BB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Desmantelamiento de Activos, procedimientos, implicaciones, efectos contables: NO APLICA</w:t>
      </w:r>
    </w:p>
    <w:p w14:paraId="6954E3D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Administración de activos; planeación con el objetivo de que el ente los utilice de manera más efectiva:</w:t>
      </w:r>
    </w:p>
    <w:p w14:paraId="78B4D80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Adicionalmente, se deben incluir las explicaciones de las principales variaciones en el activo, en cuadros comparativos como sigue:</w:t>
      </w:r>
    </w:p>
    <w:p w14:paraId="4CD0CEE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Inversiones en valores: NO APLICA</w:t>
      </w:r>
    </w:p>
    <w:p w14:paraId="019F25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Patrimonio de Organismos descentralizados de Control Presupuestario Indirecto: NO APLICA</w:t>
      </w:r>
    </w:p>
    <w:p w14:paraId="515F297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Inversiones en empresas de participación mayoritaria: NO APLICA</w:t>
      </w:r>
    </w:p>
    <w:p w14:paraId="4AC69D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Inversiones en empresas de participación minoritaria: NO APLICA</w:t>
      </w:r>
    </w:p>
    <w:p w14:paraId="40A6C29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Patrimonio de organismos descentralizados de control presupuestario directo, según corresponda: NO APLICA</w:t>
      </w:r>
    </w:p>
    <w:p w14:paraId="58847EC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E00D3FC"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9" w:name="_Toc508279629"/>
      <w:r w:rsidRPr="0089151C">
        <w:rPr>
          <w:rFonts w:ascii="Arial" w:eastAsia="Times New Roman" w:hAnsi="Arial" w:cs="Arial"/>
          <w:b/>
          <w:sz w:val="20"/>
          <w:szCs w:val="20"/>
          <w:lang w:val="es-ES" w:eastAsia="es-ES"/>
        </w:rPr>
        <w:t>9. Fideicomisos, Mandatos y Análogos:</w:t>
      </w:r>
      <w:bookmarkEnd w:id="9"/>
    </w:p>
    <w:p w14:paraId="30D16B2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deberá informar:</w:t>
      </w:r>
    </w:p>
    <w:p w14:paraId="6D0778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Por ramo administrativo que los reporta: NO APLICA</w:t>
      </w:r>
    </w:p>
    <w:p w14:paraId="52B12F1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Enlistar los de mayor monto de disponibilidad, relacionando aquéllos que conforman el 80% de las disponibilidades: NO APLICA</w:t>
      </w:r>
    </w:p>
    <w:p w14:paraId="7267E28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1669AA0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0" w:name="_Toc508279630"/>
      <w:r w:rsidRPr="0089151C">
        <w:rPr>
          <w:rFonts w:ascii="Arial" w:eastAsia="Times New Roman" w:hAnsi="Arial" w:cs="Arial"/>
          <w:b/>
          <w:sz w:val="20"/>
          <w:szCs w:val="20"/>
          <w:lang w:val="es-ES" w:eastAsia="es-ES"/>
        </w:rPr>
        <w:t>10. Reporte de la Recaudación:</w:t>
      </w:r>
      <w:bookmarkEnd w:id="10"/>
    </w:p>
    <w:p w14:paraId="6EACEB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Análisis del comportamiento de la recaudación correspondiente al ente público o cualquier tipo de ingreso, de forma separada los ingresos locales de los federales: NO APLICA</w:t>
      </w:r>
    </w:p>
    <w:p w14:paraId="7AC895E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Proyección de la recaudación e ingresos en el mediano plazo: NO APLICA</w:t>
      </w:r>
    </w:p>
    <w:p w14:paraId="7C2C127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1CC4A33"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1" w:name="_Toc508279631"/>
      <w:r w:rsidRPr="0089151C">
        <w:rPr>
          <w:rFonts w:ascii="Arial" w:eastAsia="Times New Roman" w:hAnsi="Arial" w:cs="Arial"/>
          <w:b/>
          <w:sz w:val="20"/>
          <w:szCs w:val="20"/>
          <w:lang w:val="es-ES" w:eastAsia="es-ES"/>
        </w:rPr>
        <w:t>11. Información sobre la Deuda y el Reporte Analítico de la Deuda:</w:t>
      </w:r>
      <w:bookmarkEnd w:id="11"/>
    </w:p>
    <w:p w14:paraId="5547559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Utilizar al menos los siguientes indicadores: deuda respecto al PIB y deuda respecto a la recaudación tomando, como mínimo, un período igual o menor a 5 años. NO APLICA</w:t>
      </w:r>
    </w:p>
    <w:p w14:paraId="2CAADA7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Información de manera agrupada por tipo de valor gubernamental o instrumento financiero en la que se consideren intereses, comisiones, tasa, perfil de vencimiento y otros gastos de la deuda. NO APLICA</w:t>
      </w:r>
    </w:p>
    <w:p w14:paraId="318B0C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Se anexará la información en las notas de desglose.</w:t>
      </w:r>
    </w:p>
    <w:p w14:paraId="3E68703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7A6A84E"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2" w:name="_Toc508279632"/>
      <w:r w:rsidRPr="0089151C">
        <w:rPr>
          <w:rFonts w:ascii="Arial" w:eastAsia="Times New Roman" w:hAnsi="Arial" w:cs="Arial"/>
          <w:b/>
          <w:sz w:val="20"/>
          <w:szCs w:val="20"/>
          <w:lang w:val="es-ES" w:eastAsia="es-ES"/>
        </w:rPr>
        <w:t>12. Calificaciones otorgadas:</w:t>
      </w:r>
      <w:bookmarkEnd w:id="12"/>
    </w:p>
    <w:p w14:paraId="5F93918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Informar, tanto del ente público como cualquier transacción realizada, que haya sido sujeta a una calificación crediticia: NO APLICA</w:t>
      </w:r>
    </w:p>
    <w:p w14:paraId="3B41BB2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3B6D23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3" w:name="_Toc508279633"/>
      <w:r w:rsidRPr="0089151C">
        <w:rPr>
          <w:rFonts w:ascii="Arial" w:eastAsia="Times New Roman" w:hAnsi="Arial" w:cs="Arial"/>
          <w:b/>
          <w:sz w:val="20"/>
          <w:szCs w:val="20"/>
          <w:lang w:val="es-ES" w:eastAsia="es-ES"/>
        </w:rPr>
        <w:t>13. Proceso de Mejora:</w:t>
      </w:r>
      <w:bookmarkEnd w:id="13"/>
    </w:p>
    <w:p w14:paraId="77AA6C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Principales Políticas de control interno:</w:t>
      </w:r>
    </w:p>
    <w:p w14:paraId="60172E1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7450FA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Medidas de desempeño financiero, metas y alcance:</w:t>
      </w:r>
    </w:p>
    <w:p w14:paraId="61ACDCF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A6CDB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4" w:name="_Toc508279634"/>
      <w:r w:rsidRPr="0089151C">
        <w:rPr>
          <w:rFonts w:ascii="Arial" w:eastAsia="Times New Roman" w:hAnsi="Arial" w:cs="Arial"/>
          <w:b/>
          <w:sz w:val="20"/>
          <w:szCs w:val="20"/>
          <w:lang w:val="es-ES" w:eastAsia="es-ES"/>
        </w:rPr>
        <w:lastRenderedPageBreak/>
        <w:t>14. Información por Segmentos:</w:t>
      </w:r>
      <w:bookmarkEnd w:id="14"/>
    </w:p>
    <w:p w14:paraId="7D2EF6B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DBABE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Consecuentemente, esta información contribuye al análisis más preciso de la situación financiera, grados y fuentes de riesgo y crecimiento potencial de negocio.</w:t>
      </w:r>
    </w:p>
    <w:p w14:paraId="5039FB8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5" w:name="_Toc508279635"/>
      <w:r w:rsidRPr="0089151C">
        <w:rPr>
          <w:rFonts w:ascii="Arial" w:eastAsia="Times New Roman" w:hAnsi="Arial" w:cs="Arial"/>
          <w:b/>
          <w:sz w:val="20"/>
          <w:szCs w:val="20"/>
          <w:lang w:val="es-ES" w:eastAsia="es-ES"/>
        </w:rPr>
        <w:t>15. Eventos Posteriores al Cierre:</w:t>
      </w:r>
      <w:bookmarkEnd w:id="15"/>
    </w:p>
    <w:p w14:paraId="5B736D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764C9E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745EBFF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6" w:name="_Toc508279636"/>
      <w:r w:rsidRPr="0089151C">
        <w:rPr>
          <w:rFonts w:ascii="Arial" w:eastAsia="Times New Roman" w:hAnsi="Arial" w:cs="Arial"/>
          <w:b/>
          <w:sz w:val="20"/>
          <w:szCs w:val="20"/>
          <w:lang w:val="es-ES" w:eastAsia="es-ES"/>
        </w:rPr>
        <w:t>16. Partes Relacionadas:</w:t>
      </w:r>
      <w:bookmarkEnd w:id="16"/>
    </w:p>
    <w:p w14:paraId="71F7E0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 establecer por escrito que no existen partes relacionadas que pudieran ejercer influencia significativa sobre la toma de decisiones financieras y operativas: NO APLICA</w:t>
      </w:r>
    </w:p>
    <w:p w14:paraId="4D7C5E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730177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7" w:name="_Toc508279637"/>
      <w:r w:rsidRPr="0089151C">
        <w:rPr>
          <w:rFonts w:ascii="Arial" w:eastAsia="Times New Roman" w:hAnsi="Arial" w:cs="Arial"/>
          <w:b/>
          <w:sz w:val="20"/>
          <w:szCs w:val="20"/>
          <w:lang w:val="es-ES" w:eastAsia="es-ES"/>
        </w:rPr>
        <w:t>17. Responsabilidad Sobre la Presentación Razonable de la Información Contable:</w:t>
      </w:r>
      <w:bookmarkEnd w:id="17"/>
    </w:p>
    <w:p w14:paraId="4B014A2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0B85D7A4"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28AE6786"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5C65B51"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5AA11E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87CF4AD"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7CC36810"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F7C182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06B6C6F8" w14:textId="77777777" w:rsidR="0089151C" w:rsidRPr="0089151C" w:rsidRDefault="0089151C" w:rsidP="0089151C">
      <w:pPr>
        <w:spacing w:after="0" w:line="240" w:lineRule="auto"/>
        <w:rPr>
          <w:rFonts w:ascii="Arial" w:eastAsia="Times New Roman" w:hAnsi="Arial" w:cs="Arial"/>
          <w:sz w:val="20"/>
          <w:szCs w:val="20"/>
          <w:lang w:val="es-ES" w:eastAsia="es-ES"/>
        </w:rPr>
      </w:pPr>
      <w:r w:rsidRPr="0089151C">
        <w:rPr>
          <w:rFonts w:ascii="Arial" w:eastAsia="Times New Roman" w:hAnsi="Arial" w:cs="Arial"/>
          <w:sz w:val="20"/>
          <w:szCs w:val="20"/>
          <w:lang w:val="es-ES" w:eastAsia="es-ES"/>
        </w:rPr>
        <w:object w:dxaOrig="24080" w:dyaOrig="926" w14:anchorId="308EF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4.5pt;height:26.25pt" o:ole="">
            <v:imagedata r:id="rId12" o:title=""/>
          </v:shape>
          <o:OLEObject Type="Embed" ProgID="Excel.Sheet.12" ShapeID="_x0000_i1025" DrawAspect="Content" ObjectID="_1736587330" r:id="rId13"/>
        </w:object>
      </w:r>
    </w:p>
    <w:p w14:paraId="2CFBB9E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5017103B"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FD68E5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051E559A"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77C6B3CF"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CECF54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989653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826B049"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F45A0BC"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6D341952"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4AE5097" w14:textId="77777777" w:rsidR="0089151C" w:rsidRDefault="0089151C" w:rsidP="00CB41C4">
      <w:pPr>
        <w:tabs>
          <w:tab w:val="left" w:leader="underscore" w:pos="9639"/>
        </w:tabs>
        <w:spacing w:after="0" w:line="240" w:lineRule="auto"/>
        <w:jc w:val="both"/>
        <w:rPr>
          <w:rFonts w:cs="Calibri"/>
        </w:rPr>
      </w:pPr>
    </w:p>
    <w:sectPr w:rsidR="0089151C" w:rsidSect="00AC3723">
      <w:headerReference w:type="default" r:id="rId14"/>
      <w:footerReference w:type="default" r:id="rId15"/>
      <w:pgSz w:w="15840" w:h="12240" w:orient="landscape" w:code="1"/>
      <w:pgMar w:top="567" w:right="720" w:bottom="284" w:left="737"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FE82D" w14:textId="77777777" w:rsidR="00FE4F75" w:rsidRDefault="00FE4F75" w:rsidP="00E00323">
      <w:pPr>
        <w:spacing w:after="0" w:line="240" w:lineRule="auto"/>
      </w:pPr>
      <w:r>
        <w:separator/>
      </w:r>
    </w:p>
  </w:endnote>
  <w:endnote w:type="continuationSeparator" w:id="0">
    <w:p w14:paraId="3604029C" w14:textId="77777777" w:rsidR="00FE4F75" w:rsidRDefault="00FE4F7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25B09502" w:rsidR="0012405A" w:rsidRDefault="0012405A">
        <w:pPr>
          <w:pStyle w:val="Piedepgina"/>
          <w:jc w:val="right"/>
        </w:pPr>
        <w:r>
          <w:fldChar w:fldCharType="begin"/>
        </w:r>
        <w:r>
          <w:instrText>PAGE   \* MERGEFORMAT</w:instrText>
        </w:r>
        <w:r>
          <w:fldChar w:fldCharType="separate"/>
        </w:r>
        <w:r w:rsidR="00C664AC" w:rsidRPr="00C664AC">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0DE4" w14:textId="77777777" w:rsidR="00FE4F75" w:rsidRDefault="00FE4F75" w:rsidP="00E00323">
      <w:pPr>
        <w:spacing w:after="0" w:line="240" w:lineRule="auto"/>
      </w:pPr>
      <w:r>
        <w:separator/>
      </w:r>
    </w:p>
  </w:footnote>
  <w:footnote w:type="continuationSeparator" w:id="0">
    <w:p w14:paraId="1B617836" w14:textId="77777777" w:rsidR="00FE4F75" w:rsidRDefault="00FE4F75"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4A21F049" w:rsidR="00154BA3" w:rsidRDefault="00E46E7C" w:rsidP="00A4610E">
    <w:pPr>
      <w:pStyle w:val="Encabezado"/>
      <w:spacing w:after="0" w:line="240" w:lineRule="auto"/>
      <w:jc w:val="center"/>
    </w:pPr>
    <w:r>
      <w:t>INSTITUTO TECNOLOGICO SUPERIOR DE SALVATIERRA</w:t>
    </w:r>
  </w:p>
  <w:p w14:paraId="7A5FDDD0" w14:textId="01F87A12" w:rsidR="00F415DA" w:rsidRDefault="00C904AE" w:rsidP="00F415DA">
    <w:pPr>
      <w:pStyle w:val="Encabezado"/>
      <w:spacing w:after="0" w:line="240" w:lineRule="auto"/>
      <w:jc w:val="center"/>
    </w:pPr>
    <w:r>
      <w:t>CORRESPONDINTES AL 31 DE DIC</w:t>
    </w:r>
    <w:r w:rsidR="00C73CE2">
      <w:t>IEMBRE</w:t>
    </w:r>
    <w:r w:rsidR="005D0FE7">
      <w:t xml:space="preserve"> DE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3A62C62"/>
    <w:multiLevelType w:val="hybridMultilevel"/>
    <w:tmpl w:val="130284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51157"/>
    <w:rsid w:val="00057A28"/>
    <w:rsid w:val="000632A9"/>
    <w:rsid w:val="00084EAE"/>
    <w:rsid w:val="00091CE6"/>
    <w:rsid w:val="000B7810"/>
    <w:rsid w:val="000C3365"/>
    <w:rsid w:val="00104AEB"/>
    <w:rsid w:val="0012405A"/>
    <w:rsid w:val="00154BA3"/>
    <w:rsid w:val="00162940"/>
    <w:rsid w:val="001816FD"/>
    <w:rsid w:val="001937A8"/>
    <w:rsid w:val="00196106"/>
    <w:rsid w:val="001973A2"/>
    <w:rsid w:val="001B69B8"/>
    <w:rsid w:val="001C75F2"/>
    <w:rsid w:val="001D2063"/>
    <w:rsid w:val="001D43E9"/>
    <w:rsid w:val="00297D2A"/>
    <w:rsid w:val="002F4CB1"/>
    <w:rsid w:val="00325165"/>
    <w:rsid w:val="003453CA"/>
    <w:rsid w:val="00394218"/>
    <w:rsid w:val="003A1599"/>
    <w:rsid w:val="003E15A6"/>
    <w:rsid w:val="003E1E17"/>
    <w:rsid w:val="004053D3"/>
    <w:rsid w:val="00435A87"/>
    <w:rsid w:val="004A58C8"/>
    <w:rsid w:val="004D55E0"/>
    <w:rsid w:val="004E1496"/>
    <w:rsid w:val="004F1296"/>
    <w:rsid w:val="0054701E"/>
    <w:rsid w:val="005D0FE7"/>
    <w:rsid w:val="005D209F"/>
    <w:rsid w:val="005D3E43"/>
    <w:rsid w:val="005E231E"/>
    <w:rsid w:val="006257E1"/>
    <w:rsid w:val="00657009"/>
    <w:rsid w:val="00681C79"/>
    <w:rsid w:val="00757AE3"/>
    <w:rsid w:val="007610BC"/>
    <w:rsid w:val="00762804"/>
    <w:rsid w:val="007714AB"/>
    <w:rsid w:val="007D1E76"/>
    <w:rsid w:val="007D4484"/>
    <w:rsid w:val="00862795"/>
    <w:rsid w:val="0086459F"/>
    <w:rsid w:val="008808DB"/>
    <w:rsid w:val="0089151C"/>
    <w:rsid w:val="008C3BB8"/>
    <w:rsid w:val="008E076C"/>
    <w:rsid w:val="008F495C"/>
    <w:rsid w:val="0092765C"/>
    <w:rsid w:val="009702EC"/>
    <w:rsid w:val="00A3145C"/>
    <w:rsid w:val="00A4610E"/>
    <w:rsid w:val="00A730E0"/>
    <w:rsid w:val="00AA41E5"/>
    <w:rsid w:val="00AB722B"/>
    <w:rsid w:val="00AC3723"/>
    <w:rsid w:val="00AD66A3"/>
    <w:rsid w:val="00AE1F6A"/>
    <w:rsid w:val="00B8038C"/>
    <w:rsid w:val="00BA0257"/>
    <w:rsid w:val="00C664AC"/>
    <w:rsid w:val="00C73CE2"/>
    <w:rsid w:val="00C904AE"/>
    <w:rsid w:val="00C97E1E"/>
    <w:rsid w:val="00CA34AD"/>
    <w:rsid w:val="00CB41C4"/>
    <w:rsid w:val="00CD3524"/>
    <w:rsid w:val="00CE3613"/>
    <w:rsid w:val="00CF1316"/>
    <w:rsid w:val="00D13C44"/>
    <w:rsid w:val="00D26AFB"/>
    <w:rsid w:val="00D95C19"/>
    <w:rsid w:val="00D975B1"/>
    <w:rsid w:val="00DE774A"/>
    <w:rsid w:val="00E00323"/>
    <w:rsid w:val="00E31035"/>
    <w:rsid w:val="00E42821"/>
    <w:rsid w:val="00E46E7C"/>
    <w:rsid w:val="00E50B53"/>
    <w:rsid w:val="00E74967"/>
    <w:rsid w:val="00EA37F5"/>
    <w:rsid w:val="00EA7915"/>
    <w:rsid w:val="00F02B9E"/>
    <w:rsid w:val="00F17BD1"/>
    <w:rsid w:val="00F3665C"/>
    <w:rsid w:val="00F415DA"/>
    <w:rsid w:val="00F46719"/>
    <w:rsid w:val="00F54F6F"/>
    <w:rsid w:val="00F63C97"/>
    <w:rsid w:val="00F7713B"/>
    <w:rsid w:val="00F91883"/>
    <w:rsid w:val="00FC443C"/>
    <w:rsid w:val="00FE4F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Hoja_de_c_lculo_de_Microsoft_Excel1.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www.w3.org/XML/1998/namespace"/>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F6D6CA17-274C-4A19-A76D-6B931124B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2140</Words>
  <Characters>11774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13887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Microsoft</cp:lastModifiedBy>
  <cp:revision>2</cp:revision>
  <cp:lastPrinted>2022-10-17T20:29:00Z</cp:lastPrinted>
  <dcterms:created xsi:type="dcterms:W3CDTF">2023-01-30T18:36:00Z</dcterms:created>
  <dcterms:modified xsi:type="dcterms:W3CDTF">2023-01-30T18:36:00Z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