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bookmarkStart w:id="0" w:name="_GoBack"/>
      <w:bookmarkEnd w:id="0"/>
    </w:p>
    <w:p w14:paraId="294D112B" w14:textId="77777777" w:rsidR="000B7810" w:rsidRDefault="000B7810" w:rsidP="00CB41C4">
      <w:pPr>
        <w:tabs>
          <w:tab w:val="left" w:leader="underscore" w:pos="9639"/>
        </w:tabs>
        <w:spacing w:after="0" w:line="240" w:lineRule="auto"/>
        <w:jc w:val="center"/>
        <w:rPr>
          <w:rFonts w:ascii="Times New Roman" w:hAnsi="Times New Roman"/>
          <w:sz w:val="24"/>
          <w:szCs w:val="24"/>
        </w:rPr>
      </w:pPr>
    </w:p>
    <w:p w14:paraId="095A31C3" w14:textId="77777777" w:rsidR="0089151C" w:rsidRPr="00657009" w:rsidRDefault="0089151C" w:rsidP="00CB41C4">
      <w:pPr>
        <w:tabs>
          <w:tab w:val="left" w:leader="underscore" w:pos="9639"/>
        </w:tabs>
        <w:spacing w:after="0" w:line="240" w:lineRule="auto"/>
        <w:jc w:val="center"/>
        <w:rPr>
          <w:rFonts w:ascii="Times New Roman" w:hAnsi="Times New Roman"/>
          <w:sz w:val="24"/>
          <w:szCs w:val="24"/>
        </w:rPr>
      </w:pPr>
    </w:p>
    <w:p w14:paraId="67780918" w14:textId="77777777" w:rsidR="0089151C" w:rsidRPr="0089151C" w:rsidRDefault="0089151C" w:rsidP="0089151C">
      <w:pPr>
        <w:spacing w:after="0" w:line="240" w:lineRule="exact"/>
        <w:jc w:val="center"/>
        <w:rPr>
          <w:rFonts w:ascii="Arial" w:eastAsia="Times New Roman" w:hAnsi="Arial" w:cs="Arial"/>
          <w:b/>
          <w:sz w:val="20"/>
          <w:szCs w:val="20"/>
          <w:lang w:eastAsia="es-ES"/>
        </w:rPr>
      </w:pPr>
      <w:r w:rsidRPr="0089151C">
        <w:rPr>
          <w:rFonts w:ascii="Arial" w:eastAsia="Times New Roman" w:hAnsi="Arial" w:cs="Arial"/>
          <w:b/>
          <w:sz w:val="20"/>
          <w:szCs w:val="20"/>
          <w:lang w:eastAsia="es-ES"/>
        </w:rPr>
        <w:t>c) NOTAS DE GESTIÓN ADMINISTRATIVA</w:t>
      </w:r>
    </w:p>
    <w:p w14:paraId="0301D5D5" w14:textId="77777777" w:rsidR="0089151C" w:rsidRPr="0089151C" w:rsidRDefault="0089151C" w:rsidP="0089151C">
      <w:pPr>
        <w:spacing w:after="0" w:line="240" w:lineRule="exact"/>
        <w:jc w:val="center"/>
        <w:rPr>
          <w:rFonts w:ascii="Arial" w:eastAsia="Times New Roman" w:hAnsi="Arial" w:cs="Arial"/>
          <w:b/>
          <w:sz w:val="20"/>
          <w:szCs w:val="20"/>
          <w:lang w:eastAsia="es-ES"/>
        </w:rPr>
      </w:pPr>
    </w:p>
    <w:p w14:paraId="7875065F" w14:textId="77777777" w:rsidR="0089151C" w:rsidRPr="0089151C" w:rsidRDefault="0089151C" w:rsidP="0089151C">
      <w:pPr>
        <w:keepNext/>
        <w:keepLines/>
        <w:numPr>
          <w:ilvl w:val="0"/>
          <w:numId w:val="2"/>
        </w:numPr>
        <w:spacing w:before="40" w:after="0" w:line="240" w:lineRule="auto"/>
        <w:outlineLvl w:val="1"/>
        <w:rPr>
          <w:rFonts w:ascii="Arial" w:eastAsia="Times New Roman" w:hAnsi="Arial" w:cs="Arial"/>
          <w:b/>
          <w:sz w:val="20"/>
          <w:szCs w:val="20"/>
          <w:lang w:val="es-ES" w:eastAsia="es-ES"/>
        </w:rPr>
      </w:pPr>
      <w:bookmarkStart w:id="1" w:name="_Toc508279621"/>
      <w:r w:rsidRPr="0089151C">
        <w:rPr>
          <w:rFonts w:ascii="Arial" w:eastAsia="Times New Roman" w:hAnsi="Arial" w:cs="Arial"/>
          <w:b/>
          <w:sz w:val="20"/>
          <w:szCs w:val="20"/>
          <w:lang w:val="es-ES" w:eastAsia="es-ES"/>
        </w:rPr>
        <w:t>Introducción:</w:t>
      </w:r>
      <w:bookmarkEnd w:id="1"/>
    </w:p>
    <w:p w14:paraId="3C825AFB"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El ITESS  es una institución de relativamente reciente creación y su actividad consiste principalmente en formar profesionistas para lograr el desarrollo económico y cultural del estado de Guanajuato el cual ha venido incrementando su matrícula en el ciclo 2018 - 2019 de 1,190 en el ciclo 2019 - 2020 de 1,346 y se espera una matrícula del ciclo 2020-2021 de 1360 estudiantes distribuidos en sus 5 carreras ofertadas.</w:t>
      </w:r>
    </w:p>
    <w:p w14:paraId="6FE9325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2" w:name="_Toc508279622"/>
      <w:r w:rsidRPr="0089151C">
        <w:rPr>
          <w:rFonts w:ascii="Arial" w:eastAsia="Times New Roman" w:hAnsi="Arial" w:cs="Arial"/>
          <w:b/>
          <w:sz w:val="20"/>
          <w:szCs w:val="20"/>
          <w:lang w:val="es-ES" w:eastAsia="es-ES"/>
        </w:rPr>
        <w:t>2. Describir el panorama Económico y Financiero:</w:t>
      </w:r>
      <w:bookmarkEnd w:id="2"/>
    </w:p>
    <w:p w14:paraId="603C0CD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 las principales condiciones económico-financieras bajo las cuales el ente público estuvo operando; y las cuales influyeron en la toma de decisiones de la administración; tanto a nivel local como federal.</w:t>
      </w:r>
    </w:p>
    <w:p w14:paraId="7AC47B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5EB6519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3" w:name="_Toc508279623"/>
      <w:r w:rsidRPr="0089151C">
        <w:rPr>
          <w:rFonts w:ascii="Arial" w:eastAsia="Times New Roman" w:hAnsi="Arial" w:cs="Arial"/>
          <w:b/>
          <w:sz w:val="20"/>
          <w:szCs w:val="20"/>
          <w:lang w:val="es-ES" w:eastAsia="es-ES"/>
        </w:rPr>
        <w:t>3. Autorización e Historia:</w:t>
      </w:r>
      <w:bookmarkEnd w:id="3"/>
    </w:p>
    <w:p w14:paraId="13655C4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a)   Fecha de creación del ente. La institución nace por decreto en agosto de 2009.</w:t>
      </w:r>
    </w:p>
    <w:p w14:paraId="329220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Principales cambios en su estructura (interna históricamente).</w:t>
      </w:r>
    </w:p>
    <w:p w14:paraId="2AE67F81" w14:textId="77777777" w:rsidR="0089151C" w:rsidRPr="0089151C" w:rsidRDefault="0089151C" w:rsidP="0089151C">
      <w:pPr>
        <w:rPr>
          <w:rFonts w:ascii="Arial" w:hAnsi="Arial" w:cs="Arial"/>
          <w:sz w:val="20"/>
          <w:szCs w:val="20"/>
          <w:lang w:val="es-ES" w:eastAsia="es-ES"/>
        </w:rPr>
      </w:pPr>
      <w:r w:rsidRPr="0089151C">
        <w:rPr>
          <w:rFonts w:ascii="Arial" w:hAnsi="Arial" w:cs="Arial"/>
          <w:sz w:val="20"/>
          <w:szCs w:val="20"/>
          <w:lang w:val="es-ES" w:eastAsia="es-ES"/>
        </w:rPr>
        <w:t>Por incremento de matrícula pasó de estructura B a C. Por la matrícula al contar con una Matrícula de más de 1000 alumnos</w:t>
      </w:r>
    </w:p>
    <w:p w14:paraId="67B64D94"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4" w:name="_Toc508279624"/>
      <w:r w:rsidRPr="0089151C">
        <w:rPr>
          <w:rFonts w:ascii="Arial" w:eastAsia="Times New Roman" w:hAnsi="Arial" w:cs="Arial"/>
          <w:b/>
          <w:sz w:val="20"/>
          <w:szCs w:val="20"/>
          <w:lang w:val="es-ES" w:eastAsia="es-ES"/>
        </w:rPr>
        <w:t>4. Organización y Objeto Social:</w:t>
      </w:r>
      <w:bookmarkEnd w:id="4"/>
    </w:p>
    <w:p w14:paraId="57CB1F2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2677D7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Objeto social: Contribuir, a través del proceso educativo, a mejorar las condiciones  de vida de los guanajuatenses</w:t>
      </w:r>
    </w:p>
    <w:p w14:paraId="5E8838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Principal actividad. Ofertar Educación Superior Tecnológica</w:t>
      </w:r>
    </w:p>
    <w:p w14:paraId="2C7C7D23" w14:textId="03AEADA5" w:rsidR="00F415DA"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Ejercicio </w:t>
      </w:r>
      <w:r w:rsidR="00F415DA" w:rsidRPr="0089151C">
        <w:rPr>
          <w:rFonts w:ascii="Arial" w:hAnsi="Arial" w:cs="Arial"/>
          <w:sz w:val="20"/>
          <w:szCs w:val="20"/>
          <w:lang w:val="es-ES" w:eastAsia="es-ES"/>
        </w:rPr>
        <w:t>fi</w:t>
      </w:r>
      <w:r w:rsidR="00F415DA">
        <w:rPr>
          <w:rFonts w:ascii="Arial" w:hAnsi="Arial" w:cs="Arial"/>
          <w:sz w:val="20"/>
          <w:szCs w:val="20"/>
          <w:lang w:val="es-ES" w:eastAsia="es-ES"/>
        </w:rPr>
        <w:t>scal: Enero a diciembre de 2021</w:t>
      </w:r>
    </w:p>
    <w:p w14:paraId="2AFE295C" w14:textId="3ED96DB3"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w:t>
      </w:r>
    </w:p>
    <w:p w14:paraId="738568C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Régimen jurídico (Forma como está dada de alta la entidad ante la S.H.C.P. Personas morales sin fines de lucro, etc.).</w:t>
      </w:r>
    </w:p>
    <w:p w14:paraId="6011FA5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Personas morales sin fines de lucro.</w:t>
      </w:r>
    </w:p>
    <w:p w14:paraId="2CBD468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Consideraciones fiscales del ente: Revelar el tipo de contribuciones que esté obligado a pagar o retener.</w:t>
      </w:r>
    </w:p>
    <w:p w14:paraId="744867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Retener y Enterar ISR por Salarios, Retener y enterar ISR por arrendamiento, Retener y enterar ISR por retención sobre honorarios. Impuesto estatal sobre nóminas, Retener y enterar impuesto estatal cedular por honorarios y arrendamiento</w:t>
      </w:r>
    </w:p>
    <w:p w14:paraId="18B6FF3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692AC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Estructura organizacional básica.</w:t>
      </w:r>
    </w:p>
    <w:p w14:paraId="409C1487" w14:textId="77777777" w:rsidR="0089151C" w:rsidRPr="0089151C" w:rsidRDefault="0089151C" w:rsidP="0089151C">
      <w:pPr>
        <w:tabs>
          <w:tab w:val="left" w:leader="underscore" w:pos="9639"/>
        </w:tabs>
        <w:spacing w:after="0" w:line="240" w:lineRule="auto"/>
        <w:ind w:firstLine="708"/>
        <w:jc w:val="both"/>
        <w:rPr>
          <w:rFonts w:ascii="Arial" w:hAnsi="Arial" w:cs="Arial"/>
          <w:sz w:val="20"/>
          <w:szCs w:val="20"/>
          <w:lang w:val="es-ES" w:eastAsia="es-ES"/>
        </w:rPr>
      </w:pPr>
      <w:r w:rsidRPr="0089151C">
        <w:rPr>
          <w:rFonts w:ascii="Arial" w:hAnsi="Arial" w:cs="Arial"/>
          <w:sz w:val="20"/>
          <w:szCs w:val="20"/>
          <w:lang w:val="es-ES" w:eastAsia="es-ES"/>
        </w:rPr>
        <w:t>*Anexar organigrama de la entidad.</w:t>
      </w:r>
    </w:p>
    <w:p w14:paraId="61A63F16" w14:textId="44D91BD0" w:rsidR="00E46E7C" w:rsidRDefault="00E46E7C" w:rsidP="00CB41C4">
      <w:pPr>
        <w:tabs>
          <w:tab w:val="left" w:leader="underscore" w:pos="9639"/>
        </w:tabs>
        <w:spacing w:after="0" w:line="240" w:lineRule="auto"/>
        <w:jc w:val="both"/>
        <w:rPr>
          <w:rFonts w:cs="Calibri"/>
        </w:rPr>
      </w:pPr>
    </w:p>
    <w:p w14:paraId="1F7F5EF0" w14:textId="77777777" w:rsidR="0089151C" w:rsidRDefault="0089151C" w:rsidP="00CB41C4">
      <w:pPr>
        <w:tabs>
          <w:tab w:val="left" w:leader="underscore" w:pos="9639"/>
        </w:tabs>
        <w:spacing w:after="0" w:line="240" w:lineRule="auto"/>
        <w:jc w:val="both"/>
        <w:rPr>
          <w:rFonts w:cs="Calibri"/>
        </w:rPr>
      </w:pPr>
    </w:p>
    <w:p w14:paraId="7469CF3D" w14:textId="77777777" w:rsidR="0089151C" w:rsidRDefault="0089151C" w:rsidP="00CB41C4">
      <w:pPr>
        <w:tabs>
          <w:tab w:val="left" w:leader="underscore" w:pos="9639"/>
        </w:tabs>
        <w:spacing w:after="0" w:line="240" w:lineRule="auto"/>
        <w:jc w:val="both"/>
        <w:rPr>
          <w:rFonts w:cs="Calibri"/>
        </w:rPr>
      </w:pPr>
    </w:p>
    <w:p w14:paraId="1A403DE4" w14:textId="77777777" w:rsidR="0089151C" w:rsidRDefault="0089151C" w:rsidP="00CB41C4">
      <w:pPr>
        <w:tabs>
          <w:tab w:val="left" w:leader="underscore" w:pos="9639"/>
        </w:tabs>
        <w:spacing w:after="0" w:line="240" w:lineRule="auto"/>
        <w:jc w:val="both"/>
        <w:rPr>
          <w:rFonts w:cs="Calibri"/>
        </w:rPr>
      </w:pPr>
    </w:p>
    <w:p w14:paraId="2D930881" w14:textId="3D3C718A" w:rsidR="0089151C" w:rsidRDefault="0089151C" w:rsidP="00CB41C4">
      <w:pPr>
        <w:tabs>
          <w:tab w:val="left" w:leader="underscore" w:pos="9639"/>
        </w:tabs>
        <w:spacing w:after="0" w:line="240" w:lineRule="auto"/>
        <w:jc w:val="both"/>
        <w:rPr>
          <w:rFonts w:cs="Calibri"/>
        </w:rPr>
      </w:pPr>
      <w:r>
        <w:rPr>
          <w:noProof/>
          <w:lang w:eastAsia="es-MX"/>
        </w:rPr>
        <w:drawing>
          <wp:inline distT="0" distB="0" distL="0" distR="0" wp14:anchorId="52DC7EF1" wp14:editId="6FFECC26">
            <wp:extent cx="8134185" cy="5557520"/>
            <wp:effectExtent l="0" t="0" r="635"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3202" cy="5563680"/>
                    </a:xfrm>
                    <a:prstGeom prst="rect">
                      <a:avLst/>
                    </a:prstGeom>
                    <a:noFill/>
                  </pic:spPr>
                </pic:pic>
              </a:graphicData>
            </a:graphic>
          </wp:inline>
        </w:drawing>
      </w:r>
    </w:p>
    <w:p w14:paraId="1CEABD86" w14:textId="77777777" w:rsidR="0089151C" w:rsidRDefault="0089151C" w:rsidP="00CB41C4">
      <w:pPr>
        <w:tabs>
          <w:tab w:val="left" w:leader="underscore" w:pos="9639"/>
        </w:tabs>
        <w:spacing w:after="0" w:line="240" w:lineRule="auto"/>
        <w:jc w:val="both"/>
        <w:rPr>
          <w:rFonts w:cs="Calibri"/>
        </w:rPr>
      </w:pPr>
    </w:p>
    <w:p w14:paraId="77424718" w14:textId="77777777" w:rsidR="0089151C" w:rsidRDefault="0089151C" w:rsidP="00CB41C4">
      <w:pPr>
        <w:tabs>
          <w:tab w:val="left" w:leader="underscore" w:pos="9639"/>
        </w:tabs>
        <w:spacing w:after="0" w:line="240" w:lineRule="auto"/>
        <w:jc w:val="both"/>
        <w:rPr>
          <w:rFonts w:cs="Calibri"/>
        </w:rPr>
      </w:pPr>
    </w:p>
    <w:p w14:paraId="77FC00E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Fideicomisos, mandatos y análogos de los cuales es fideicomitente o fideicomisario.</w:t>
      </w:r>
    </w:p>
    <w:p w14:paraId="19BABDA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APLICA ya que no contamos con ninguna figura de este tipo</w:t>
      </w:r>
    </w:p>
    <w:p w14:paraId="2C09E07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5" w:name="_Toc508279625"/>
      <w:r w:rsidRPr="0089151C">
        <w:rPr>
          <w:rFonts w:ascii="Arial" w:eastAsia="Times New Roman" w:hAnsi="Arial" w:cs="Arial"/>
          <w:b/>
          <w:sz w:val="20"/>
          <w:szCs w:val="20"/>
          <w:lang w:val="es-ES" w:eastAsia="es-ES"/>
        </w:rPr>
        <w:t>5. Bases de Preparación de los Estados Financieros:</w:t>
      </w:r>
      <w:bookmarkEnd w:id="5"/>
    </w:p>
    <w:p w14:paraId="11F535A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informará sobre:</w:t>
      </w:r>
    </w:p>
    <w:p w14:paraId="0718549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Si se ha observado la normatividad emitida por el CONAC y las disposiciones legales aplicables.</w:t>
      </w:r>
    </w:p>
    <w:p w14:paraId="4B72B1B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Sí, se han revisado los documentos normativos relacionados con los Estados Financieros (Normas y Metodología para la emisión de información financiera y estructura de los estados financieros básicos del ente público y características de sus notas.</w:t>
      </w:r>
    </w:p>
    <w:p w14:paraId="0A17EF6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3471D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Al conocer los documentos de CONAC se comprende lo antes mencionado. (Principales reglas de registro y valoración del patrimonio, así como las reglas específicas del registro y valoración del patrimonio)</w:t>
      </w:r>
    </w:p>
    <w:p w14:paraId="6A40B97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Postulados básicos.</w:t>
      </w:r>
    </w:p>
    <w:p w14:paraId="5018B08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14:paraId="5E39D74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ENTE PÚBLICO El organismo cuenta con el Reglamento Orgánico, en el que se establecen sus objetivos, su ámbito de acción y sus limitaciones; con atribuciones para asumir derechos y contraer obligaciones.</w:t>
      </w:r>
    </w:p>
    <w:p w14:paraId="6C04B8A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EXISTENCIA PERMANENTE La actividad del organismo público al no tener fecha de término se asume por tiempo indefinido, por lo que el sistema contable del organismo es considerado por el mismo periodo de vida.</w:t>
      </w:r>
    </w:p>
    <w:p w14:paraId="0C2BB94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REVELACION SUFICIENTE Los estados y la información financiera muestran amplia y claramente la situación financiera y los resultados del organismo.</w:t>
      </w:r>
    </w:p>
    <w:p w14:paraId="04709D7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IMPORTANCIA RELATIVA La información correspondiente al presente periodo muestran los aspectos más importantes de la entidad que fueron reconocidos contablemente. </w:t>
      </w:r>
    </w:p>
    <w:p w14:paraId="6F556D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REGISTRO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14:paraId="3B4BBD6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14:paraId="63AE244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14:paraId="2AB3C94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PERIODO CONTABLE La vida del organismo se divide en períodos uniformes del año calendario, correspondiendo al presente ejercicio 2019.</w:t>
      </w:r>
    </w:p>
    <w:p w14:paraId="4E3CCBA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VALUACION Todos los eventos que afectaron económicamente al organismo en el periodo que se informa se cuantificaron en términos monetarios y se registraron a costo histórico y en moneda nacional.</w:t>
      </w:r>
    </w:p>
    <w:p w14:paraId="0D5DCE5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14:paraId="62C19F11"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lastRenderedPageBreak/>
        <w:t>CONSISTENCIA En operaciones similares realizadas en el organismo, se aplicó de manera sistemática un mismo criterio de tratamiento contable. Las Bases de Preparación de los Estados Financieros aplican los Postulados Básicos.</w:t>
      </w:r>
    </w:p>
    <w:p w14:paraId="3900499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5B14B7D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No se aplicó ninguna norma supletoria.</w:t>
      </w:r>
    </w:p>
    <w:p w14:paraId="44DEA37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Para las entidades que por primera vez estén implementando la base devengado de acuerdo a la Ley de Contabilidad, deberán:</w:t>
      </w:r>
    </w:p>
    <w:p w14:paraId="2C3170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las nuevas políticas de reconocimiento: NO APLICA </w:t>
      </w:r>
    </w:p>
    <w:p w14:paraId="7FC45C7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*Plan de implementación: NO APLICA </w:t>
      </w:r>
    </w:p>
    <w:p w14:paraId="2B1C8E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xml:space="preserve">*Revelar los cambios en las políticas, la clasificación y medición de las mismas, así como su impacto en la información financiera: NO APLICA </w:t>
      </w:r>
    </w:p>
    <w:p w14:paraId="0180CCE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5417C28" w14:textId="77777777" w:rsidR="0089151C" w:rsidRPr="0089151C" w:rsidRDefault="0089151C" w:rsidP="0089151C">
      <w:pPr>
        <w:keepNext/>
        <w:keepLines/>
        <w:spacing w:before="40" w:after="0"/>
        <w:outlineLvl w:val="1"/>
        <w:rPr>
          <w:rFonts w:ascii="Arial" w:eastAsia="Times New Roman" w:hAnsi="Arial" w:cs="Arial"/>
          <w:b/>
          <w:color w:val="365F91"/>
          <w:sz w:val="20"/>
          <w:szCs w:val="20"/>
          <w:lang w:val="es-ES" w:eastAsia="es-ES"/>
        </w:rPr>
      </w:pPr>
      <w:bookmarkStart w:id="6" w:name="_Toc508279626"/>
      <w:r w:rsidRPr="0089151C">
        <w:rPr>
          <w:rFonts w:ascii="Arial" w:eastAsia="Times New Roman" w:hAnsi="Arial" w:cs="Arial"/>
          <w:b/>
          <w:sz w:val="20"/>
          <w:szCs w:val="20"/>
          <w:lang w:val="es-ES" w:eastAsia="es-ES"/>
        </w:rPr>
        <w:t>6. Políticas de Contabilidad Significativas:</w:t>
      </w:r>
      <w:bookmarkEnd w:id="6"/>
    </w:p>
    <w:p w14:paraId="7C44D3E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Actualización: se informará del método utilizado para la actualización del valor de los activos, pasivos y Hacienda Pública/Patrimonio y las razones de dicha elección. Así como informar de la desconexión o reconexión inflacionaria: NO APLICA </w:t>
      </w:r>
    </w:p>
    <w:p w14:paraId="77818A1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Informar sobre la realización de operaciones en el extranjero y de sus efectos en la información financiera gubernamental: NO APLICA </w:t>
      </w:r>
    </w:p>
    <w:p w14:paraId="3F9BCACE"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Método de valuación de la inversión en acciones de Compañías subsidiarias no consolidadas y asociadas: NO APLICA </w:t>
      </w:r>
    </w:p>
    <w:p w14:paraId="56C0261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Sistema y método de valuación de inventarios y costo de lo vendido: NO APLICA</w:t>
      </w:r>
    </w:p>
    <w:p w14:paraId="24811CD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Beneficios a empleados: revelar el cálculo de la reserva actuarial, valor presente de los ingresos esperados comparado con el valor presente de la estimación de gastos tanto de los beneficiarios actuales como futuros: NO APLICA </w:t>
      </w:r>
    </w:p>
    <w:p w14:paraId="083D171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Provisiones: objetivo de su creación, monto y plazo: NO APLICA </w:t>
      </w:r>
    </w:p>
    <w:p w14:paraId="2AAB87C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Reservas: objetivo de su creación, monto y plazo: NO APLICA</w:t>
      </w:r>
    </w:p>
    <w:p w14:paraId="118591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Cambios en políticas contables y corrección de errores junto con la revelación de los efectos que se tendrá en la información financiera del ente público, ya sea retrospectivos o prospectivos: NO APLICA</w:t>
      </w:r>
    </w:p>
    <w:p w14:paraId="4C196CF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i)</w:t>
      </w:r>
      <w:r w:rsidRPr="0089151C">
        <w:rPr>
          <w:rFonts w:ascii="Arial" w:hAnsi="Arial" w:cs="Arial"/>
          <w:sz w:val="20"/>
          <w:szCs w:val="20"/>
          <w:lang w:val="es-ES" w:eastAsia="es-ES"/>
        </w:rPr>
        <w:t xml:space="preserve"> Reclasificaciones: Se deben revelar todos aquellos movimientos entre cuentas por efectos de cambios en los tipos de operaciones: NO APLICA</w:t>
      </w:r>
    </w:p>
    <w:p w14:paraId="06754A9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j)</w:t>
      </w:r>
      <w:r w:rsidRPr="0089151C">
        <w:rPr>
          <w:rFonts w:ascii="Arial" w:hAnsi="Arial" w:cs="Arial"/>
          <w:sz w:val="20"/>
          <w:szCs w:val="20"/>
          <w:lang w:val="es-ES" w:eastAsia="es-ES"/>
        </w:rPr>
        <w:t xml:space="preserve"> Depuración y cancelación de saldos: NO APLICA</w:t>
      </w:r>
    </w:p>
    <w:p w14:paraId="5CBC6CE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3AAF47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7" w:name="_Toc508279627"/>
      <w:r w:rsidRPr="0089151C">
        <w:rPr>
          <w:rFonts w:ascii="Arial" w:eastAsia="Times New Roman" w:hAnsi="Arial" w:cs="Arial"/>
          <w:b/>
          <w:sz w:val="20"/>
          <w:szCs w:val="20"/>
          <w:lang w:val="es-ES" w:eastAsia="es-ES"/>
        </w:rPr>
        <w:t>7. Posición en Moneda Extranjera y Protección por Riesgo Cambiario:</w:t>
      </w:r>
      <w:bookmarkEnd w:id="7"/>
    </w:p>
    <w:p w14:paraId="10727B6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Activos en moneda extranjera: NO APLICA</w:t>
      </w:r>
    </w:p>
    <w:p w14:paraId="12F54BB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Pasivos en moneda extranjera: NO APLICA</w:t>
      </w:r>
    </w:p>
    <w:p w14:paraId="6766FD9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c) </w:t>
      </w:r>
      <w:r w:rsidRPr="0089151C">
        <w:rPr>
          <w:rFonts w:ascii="Arial" w:hAnsi="Arial" w:cs="Arial"/>
          <w:sz w:val="20"/>
          <w:szCs w:val="20"/>
          <w:lang w:val="es-ES" w:eastAsia="es-ES"/>
        </w:rPr>
        <w:t>Posición en moneda extranjera: NO APLICA</w:t>
      </w:r>
    </w:p>
    <w:p w14:paraId="751AFC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Tipo de cambio: NO APLICA</w:t>
      </w:r>
    </w:p>
    <w:p w14:paraId="2764A6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 xml:space="preserve">e) </w:t>
      </w:r>
      <w:r w:rsidRPr="0089151C">
        <w:rPr>
          <w:rFonts w:ascii="Arial" w:hAnsi="Arial" w:cs="Arial"/>
          <w:sz w:val="20"/>
          <w:szCs w:val="20"/>
          <w:lang w:val="es-ES" w:eastAsia="es-ES"/>
        </w:rPr>
        <w:t>Equivalente en moneda nacional: NO APLICA</w:t>
      </w:r>
    </w:p>
    <w:p w14:paraId="5B5EBBCA" w14:textId="77777777" w:rsidR="0089151C" w:rsidRPr="0089151C" w:rsidRDefault="0089151C" w:rsidP="0089151C">
      <w:pPr>
        <w:spacing w:after="0" w:line="240" w:lineRule="auto"/>
        <w:rPr>
          <w:rFonts w:ascii="Arial" w:eastAsia="Times New Roman" w:hAnsi="Arial" w:cs="Arial"/>
          <w:b/>
          <w:sz w:val="20"/>
          <w:szCs w:val="20"/>
          <w:lang w:val="es-ES" w:eastAsia="es-ES"/>
        </w:rPr>
      </w:pPr>
    </w:p>
    <w:p w14:paraId="5C57279F"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8" w:name="_Toc508279628"/>
      <w:r w:rsidRPr="0089151C">
        <w:rPr>
          <w:rFonts w:ascii="Arial" w:eastAsia="Times New Roman" w:hAnsi="Arial" w:cs="Arial"/>
          <w:b/>
          <w:sz w:val="20"/>
          <w:szCs w:val="20"/>
          <w:lang w:val="es-ES" w:eastAsia="es-ES"/>
        </w:rPr>
        <w:t>8. Reporte Analítico del Activo:</w:t>
      </w:r>
      <w:bookmarkEnd w:id="8"/>
    </w:p>
    <w:p w14:paraId="1697E68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Vida útil o porcentajes de depreciación, deterioro o amortización utilizados en los diferentes tipos de activos:</w:t>
      </w:r>
    </w:p>
    <w:p w14:paraId="5C74059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APICAN LOS ESTABLECIDOS EN CONAC</w:t>
      </w:r>
    </w:p>
    <w:p w14:paraId="6A063F7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Cambios en el porcentaje de depreciación o valor residual de los activos: NO APLICA</w:t>
      </w:r>
    </w:p>
    <w:p w14:paraId="0CBD0C5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Importe de los gastos capitalizados en el ejercicio, tanto financieros como de investigación y desarrollo: NO APLICA</w:t>
      </w:r>
    </w:p>
    <w:p w14:paraId="4B8E950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Riesgos por tipo de cambio o tipo de interés de las inversiones financieras: NO APLICA</w:t>
      </w:r>
    </w:p>
    <w:p w14:paraId="37F9302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lastRenderedPageBreak/>
        <w:t xml:space="preserve">e) </w:t>
      </w:r>
      <w:r w:rsidRPr="0089151C">
        <w:rPr>
          <w:rFonts w:ascii="Arial" w:hAnsi="Arial" w:cs="Arial"/>
          <w:sz w:val="20"/>
          <w:szCs w:val="20"/>
          <w:lang w:val="es-ES" w:eastAsia="es-ES"/>
        </w:rPr>
        <w:t>Valor activado en el ejercicio de los bienes construidos por la entidad: NO APLICA</w:t>
      </w:r>
    </w:p>
    <w:p w14:paraId="6DB9EC0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f)</w:t>
      </w:r>
      <w:r w:rsidRPr="0089151C">
        <w:rPr>
          <w:rFonts w:ascii="Arial" w:hAnsi="Arial" w:cs="Arial"/>
          <w:sz w:val="20"/>
          <w:szCs w:val="20"/>
          <w:lang w:val="es-ES" w:eastAsia="es-ES"/>
        </w:rPr>
        <w:t xml:space="preserve"> Otras circunstancias de carácter significativo que afecten el activo, tales como bienes en garantía, señalados en embargos, litigios, títulos de inversiones entregados en garantías, baja significativa del valor de inversiones financieras, etc.: NO APLICA</w:t>
      </w:r>
    </w:p>
    <w:p w14:paraId="10A01BB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g)</w:t>
      </w:r>
      <w:r w:rsidRPr="0089151C">
        <w:rPr>
          <w:rFonts w:ascii="Arial" w:hAnsi="Arial" w:cs="Arial"/>
          <w:sz w:val="20"/>
          <w:szCs w:val="20"/>
          <w:lang w:val="es-ES" w:eastAsia="es-ES"/>
        </w:rPr>
        <w:t xml:space="preserve"> Desmantelamiento de Activos, procedimientos, implicaciones, efectos contables: NO APLICA</w:t>
      </w:r>
    </w:p>
    <w:p w14:paraId="6954E3D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h)</w:t>
      </w:r>
      <w:r w:rsidRPr="0089151C">
        <w:rPr>
          <w:rFonts w:ascii="Arial" w:hAnsi="Arial" w:cs="Arial"/>
          <w:sz w:val="20"/>
          <w:szCs w:val="20"/>
          <w:lang w:val="es-ES" w:eastAsia="es-ES"/>
        </w:rPr>
        <w:t xml:space="preserve"> Administración de activos; planeación con el objetivo de que el ente los utilice de manera más efectiva:</w:t>
      </w:r>
    </w:p>
    <w:p w14:paraId="78B4D80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Adicionalmente, se deben incluir las explicaciones de las principales variaciones en el activo, en cuadros comparativos como sigue:</w:t>
      </w:r>
    </w:p>
    <w:p w14:paraId="4CD0CEEC"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Inversiones en valores: NO APLICA</w:t>
      </w:r>
    </w:p>
    <w:p w14:paraId="019F251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Patrimonio de Organismos descentralizados de Control Presupuestario Indirecto: NO APLICA</w:t>
      </w:r>
    </w:p>
    <w:p w14:paraId="515F297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c)</w:t>
      </w:r>
      <w:r w:rsidRPr="0089151C">
        <w:rPr>
          <w:rFonts w:ascii="Arial" w:hAnsi="Arial" w:cs="Arial"/>
          <w:sz w:val="20"/>
          <w:szCs w:val="20"/>
          <w:lang w:val="es-ES" w:eastAsia="es-ES"/>
        </w:rPr>
        <w:t xml:space="preserve"> Inversiones en empresas de participación mayoritaria: NO APLICA</w:t>
      </w:r>
    </w:p>
    <w:p w14:paraId="4AC69DF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d)</w:t>
      </w:r>
      <w:r w:rsidRPr="0089151C">
        <w:rPr>
          <w:rFonts w:ascii="Arial" w:hAnsi="Arial" w:cs="Arial"/>
          <w:sz w:val="20"/>
          <w:szCs w:val="20"/>
          <w:lang w:val="es-ES" w:eastAsia="es-ES"/>
        </w:rPr>
        <w:t xml:space="preserve"> Inversiones en empresas de participación minoritaria: NO APLICA</w:t>
      </w:r>
    </w:p>
    <w:p w14:paraId="40A6C29B"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e)</w:t>
      </w:r>
      <w:r w:rsidRPr="0089151C">
        <w:rPr>
          <w:rFonts w:ascii="Arial" w:hAnsi="Arial" w:cs="Arial"/>
          <w:sz w:val="20"/>
          <w:szCs w:val="20"/>
          <w:lang w:val="es-ES" w:eastAsia="es-ES"/>
        </w:rPr>
        <w:t xml:space="preserve"> Patrimonio de organismos descentralizados de control presupuestario directo, según corresponda: NO APLICA</w:t>
      </w:r>
    </w:p>
    <w:p w14:paraId="58847EC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E00D3FC"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9" w:name="_Toc508279629"/>
      <w:r w:rsidRPr="0089151C">
        <w:rPr>
          <w:rFonts w:ascii="Arial" w:eastAsia="Times New Roman" w:hAnsi="Arial" w:cs="Arial"/>
          <w:b/>
          <w:sz w:val="20"/>
          <w:szCs w:val="20"/>
          <w:lang w:val="es-ES" w:eastAsia="es-ES"/>
        </w:rPr>
        <w:t>9. Fideicomisos, Mandatos y Análogos:</w:t>
      </w:r>
      <w:bookmarkEnd w:id="9"/>
    </w:p>
    <w:p w14:paraId="30D16B2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deberá informar:</w:t>
      </w:r>
    </w:p>
    <w:p w14:paraId="6D0778C6"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Por ramo administrativo que los reporta: NO APLICA</w:t>
      </w:r>
    </w:p>
    <w:p w14:paraId="52B12F1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Enlistar los de mayor monto de disponibilidad, relacionando aquéllos que conforman el 80% de las disponibilidades: NO APLICA</w:t>
      </w:r>
    </w:p>
    <w:p w14:paraId="7267E28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1669AA0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0" w:name="_Toc508279630"/>
      <w:r w:rsidRPr="0089151C">
        <w:rPr>
          <w:rFonts w:ascii="Arial" w:eastAsia="Times New Roman" w:hAnsi="Arial" w:cs="Arial"/>
          <w:b/>
          <w:sz w:val="20"/>
          <w:szCs w:val="20"/>
          <w:lang w:val="es-ES" w:eastAsia="es-ES"/>
        </w:rPr>
        <w:t>10. Reporte de la Recaudación:</w:t>
      </w:r>
      <w:bookmarkEnd w:id="10"/>
    </w:p>
    <w:p w14:paraId="6EACEB3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Análisis del comportamiento de la recaudación correspondiente al ente público o cualquier tipo de ingreso, de forma separada los ingresos locales de los federales: NO APLICA</w:t>
      </w:r>
    </w:p>
    <w:p w14:paraId="7AC895E9"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Proyección de la recaudación e ingresos en el mediano plazo: NO APLICA</w:t>
      </w:r>
    </w:p>
    <w:p w14:paraId="7C2C127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1CC4A33"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1" w:name="_Toc508279631"/>
      <w:r w:rsidRPr="0089151C">
        <w:rPr>
          <w:rFonts w:ascii="Arial" w:eastAsia="Times New Roman" w:hAnsi="Arial" w:cs="Arial"/>
          <w:b/>
          <w:sz w:val="20"/>
          <w:szCs w:val="20"/>
          <w:lang w:val="es-ES" w:eastAsia="es-ES"/>
        </w:rPr>
        <w:t>11. Información sobre la Deuda y el Reporte Analítico de la Deuda:</w:t>
      </w:r>
      <w:bookmarkEnd w:id="11"/>
    </w:p>
    <w:p w14:paraId="55475593"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Utilizar al menos los siguientes indicadores: deuda respecto al PIB y deuda respecto a la recaudación tomando, como mínimo, un período igual o menor a 5 años. NO APLICA</w:t>
      </w:r>
    </w:p>
    <w:p w14:paraId="2CAADA7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Información de manera agrupada por tipo de valor gubernamental o instrumento financiero en la que se consideren intereses, comisiones, tasa, perfil de vencimiento y otros gastos de la deuda. NO APLICA</w:t>
      </w:r>
    </w:p>
    <w:p w14:paraId="318B0C6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 Se anexará la información en las notas de desglose.</w:t>
      </w:r>
    </w:p>
    <w:p w14:paraId="3E68703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47A6A84E"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2" w:name="_Toc508279632"/>
      <w:r w:rsidRPr="0089151C">
        <w:rPr>
          <w:rFonts w:ascii="Arial" w:eastAsia="Times New Roman" w:hAnsi="Arial" w:cs="Arial"/>
          <w:b/>
          <w:sz w:val="20"/>
          <w:szCs w:val="20"/>
          <w:lang w:val="es-ES" w:eastAsia="es-ES"/>
        </w:rPr>
        <w:t>12. Calificaciones otorgadas:</w:t>
      </w:r>
      <w:bookmarkEnd w:id="12"/>
    </w:p>
    <w:p w14:paraId="5F93918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Informar, tanto del ente público como cualquier transacción realizada, que haya sido sujeta a una calificación crediticia: NO APLICA</w:t>
      </w:r>
    </w:p>
    <w:p w14:paraId="3B41BB2F"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63B6D230"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3" w:name="_Toc508279633"/>
      <w:r w:rsidRPr="0089151C">
        <w:rPr>
          <w:rFonts w:ascii="Arial" w:eastAsia="Times New Roman" w:hAnsi="Arial" w:cs="Arial"/>
          <w:b/>
          <w:sz w:val="20"/>
          <w:szCs w:val="20"/>
          <w:lang w:val="es-ES" w:eastAsia="es-ES"/>
        </w:rPr>
        <w:t>13. Proceso de Mejora:</w:t>
      </w:r>
      <w:bookmarkEnd w:id="13"/>
    </w:p>
    <w:p w14:paraId="77AA6C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a)</w:t>
      </w:r>
      <w:r w:rsidRPr="0089151C">
        <w:rPr>
          <w:rFonts w:ascii="Arial" w:hAnsi="Arial" w:cs="Arial"/>
          <w:sz w:val="20"/>
          <w:szCs w:val="20"/>
          <w:lang w:val="es-ES" w:eastAsia="es-ES"/>
        </w:rPr>
        <w:t xml:space="preserve"> Principales Políticas de control interno:</w:t>
      </w:r>
    </w:p>
    <w:p w14:paraId="60172E1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7450FAA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b/>
          <w:sz w:val="20"/>
          <w:szCs w:val="20"/>
          <w:lang w:val="es-ES" w:eastAsia="es-ES"/>
        </w:rPr>
        <w:t>b)</w:t>
      </w:r>
      <w:r w:rsidRPr="0089151C">
        <w:rPr>
          <w:rFonts w:ascii="Arial" w:hAnsi="Arial" w:cs="Arial"/>
          <w:sz w:val="20"/>
          <w:szCs w:val="20"/>
          <w:lang w:val="es-ES" w:eastAsia="es-ES"/>
        </w:rPr>
        <w:t xml:space="preserve"> Medidas de desempeño financiero, metas y alcance:</w:t>
      </w:r>
    </w:p>
    <w:p w14:paraId="61ACDCFD"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FA6CDB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4" w:name="_Toc508279634"/>
      <w:r w:rsidRPr="0089151C">
        <w:rPr>
          <w:rFonts w:ascii="Arial" w:eastAsia="Times New Roman" w:hAnsi="Arial" w:cs="Arial"/>
          <w:b/>
          <w:sz w:val="20"/>
          <w:szCs w:val="20"/>
          <w:lang w:val="es-ES" w:eastAsia="es-ES"/>
        </w:rPr>
        <w:lastRenderedPageBreak/>
        <w:t>14. Información por Segmentos:</w:t>
      </w:r>
      <w:bookmarkEnd w:id="14"/>
    </w:p>
    <w:p w14:paraId="7D2EF6B0"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DBABEE4"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Consecuentemente, esta información contribuye al análisis más preciso de la situación financiera, grados y fuentes de riesgo y crecimiento potencial de negocio.</w:t>
      </w:r>
    </w:p>
    <w:p w14:paraId="5039FB88"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5" w:name="_Toc508279635"/>
      <w:r w:rsidRPr="0089151C">
        <w:rPr>
          <w:rFonts w:ascii="Arial" w:eastAsia="Times New Roman" w:hAnsi="Arial" w:cs="Arial"/>
          <w:b/>
          <w:sz w:val="20"/>
          <w:szCs w:val="20"/>
          <w:lang w:val="es-ES" w:eastAsia="es-ES"/>
        </w:rPr>
        <w:t>15. Eventos Posteriores al Cierre:</w:t>
      </w:r>
      <w:bookmarkEnd w:id="15"/>
    </w:p>
    <w:p w14:paraId="5B736D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El ente público informará el efecto en sus estados financieros de aquellos hechos ocurridos en el período posterior al que informa, que proporcionan mayor evidencia sobre eventos que le afectan económicamente y que no se conocían a la fecha de cierre.</w:t>
      </w:r>
    </w:p>
    <w:p w14:paraId="764C9E38"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745EBFFA"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6" w:name="_Toc508279636"/>
      <w:r w:rsidRPr="0089151C">
        <w:rPr>
          <w:rFonts w:ascii="Arial" w:eastAsia="Times New Roman" w:hAnsi="Arial" w:cs="Arial"/>
          <w:b/>
          <w:sz w:val="20"/>
          <w:szCs w:val="20"/>
          <w:lang w:val="es-ES" w:eastAsia="es-ES"/>
        </w:rPr>
        <w:t>16. Partes Relacionadas:</w:t>
      </w:r>
      <w:bookmarkEnd w:id="16"/>
    </w:p>
    <w:p w14:paraId="71F7E0EA"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Se debe establecer por escrito que no existen partes relacionadas que pudieran ejercer influencia significativa sobre la toma de decisiones financieras y operativas: NO APLICA</w:t>
      </w:r>
    </w:p>
    <w:p w14:paraId="4D7C5E07"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p>
    <w:p w14:paraId="37301779" w14:textId="77777777" w:rsidR="0089151C" w:rsidRPr="0089151C" w:rsidRDefault="0089151C" w:rsidP="0089151C">
      <w:pPr>
        <w:keepNext/>
        <w:keepLines/>
        <w:spacing w:before="40" w:after="0"/>
        <w:outlineLvl w:val="1"/>
        <w:rPr>
          <w:rFonts w:ascii="Arial" w:eastAsia="Times New Roman" w:hAnsi="Arial" w:cs="Arial"/>
          <w:b/>
          <w:sz w:val="20"/>
          <w:szCs w:val="20"/>
          <w:lang w:val="es-ES" w:eastAsia="es-ES"/>
        </w:rPr>
      </w:pPr>
      <w:bookmarkStart w:id="17" w:name="_Toc508279637"/>
      <w:r w:rsidRPr="0089151C">
        <w:rPr>
          <w:rFonts w:ascii="Arial" w:eastAsia="Times New Roman" w:hAnsi="Arial" w:cs="Arial"/>
          <w:b/>
          <w:sz w:val="20"/>
          <w:szCs w:val="20"/>
          <w:lang w:val="es-ES" w:eastAsia="es-ES"/>
        </w:rPr>
        <w:t>17. Responsabilidad Sobre la Presentación Razonable de la Información Contable:</w:t>
      </w:r>
      <w:bookmarkEnd w:id="17"/>
    </w:p>
    <w:p w14:paraId="4B014A22" w14:textId="77777777" w:rsidR="0089151C" w:rsidRPr="0089151C" w:rsidRDefault="0089151C" w:rsidP="0089151C">
      <w:pPr>
        <w:tabs>
          <w:tab w:val="left" w:leader="underscore" w:pos="9639"/>
        </w:tabs>
        <w:spacing w:after="0" w:line="240" w:lineRule="auto"/>
        <w:jc w:val="both"/>
        <w:rPr>
          <w:rFonts w:ascii="Arial" w:hAnsi="Arial" w:cs="Arial"/>
          <w:sz w:val="20"/>
          <w:szCs w:val="20"/>
          <w:lang w:val="es-ES" w:eastAsia="es-ES"/>
        </w:rPr>
      </w:pPr>
      <w:r w:rsidRPr="0089151C">
        <w:rPr>
          <w:rFonts w:ascii="Arial" w:hAnsi="Arial" w:cs="Arial"/>
          <w:sz w:val="20"/>
          <w:szCs w:val="20"/>
          <w:lang w:val="es-ES" w:eastAsia="es-ES"/>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0B85D7A4"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28AE6786"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5C65B51"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5AA11E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487CF4AD"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7CC36810"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6F7C1822" w14:textId="77777777" w:rsidR="0089151C" w:rsidRPr="0089151C" w:rsidRDefault="0089151C" w:rsidP="0089151C">
      <w:pPr>
        <w:spacing w:after="0" w:line="240" w:lineRule="auto"/>
        <w:jc w:val="center"/>
        <w:rPr>
          <w:rFonts w:ascii="Arial" w:eastAsia="Times New Roman" w:hAnsi="Arial" w:cs="Arial"/>
          <w:b/>
          <w:sz w:val="20"/>
          <w:szCs w:val="20"/>
          <w:lang w:val="es-ES" w:eastAsia="es-ES"/>
        </w:rPr>
      </w:pPr>
    </w:p>
    <w:p w14:paraId="06B6C6F8" w14:textId="77777777" w:rsidR="0089151C" w:rsidRPr="0089151C" w:rsidRDefault="0089151C" w:rsidP="0089151C">
      <w:pPr>
        <w:spacing w:after="0" w:line="240" w:lineRule="auto"/>
        <w:rPr>
          <w:rFonts w:ascii="Arial" w:eastAsia="Times New Roman" w:hAnsi="Arial" w:cs="Arial"/>
          <w:sz w:val="20"/>
          <w:szCs w:val="20"/>
          <w:lang w:val="es-ES" w:eastAsia="es-ES"/>
        </w:rPr>
      </w:pPr>
      <w:r w:rsidRPr="0089151C">
        <w:rPr>
          <w:rFonts w:ascii="Arial" w:eastAsia="Times New Roman" w:hAnsi="Arial" w:cs="Arial"/>
          <w:sz w:val="20"/>
          <w:szCs w:val="20"/>
          <w:lang w:val="es-ES" w:eastAsia="es-ES"/>
        </w:rPr>
        <w:object w:dxaOrig="24080" w:dyaOrig="926" w14:anchorId="308EF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5pt;height:26.25pt" o:ole="">
            <v:imagedata r:id="rId12" o:title=""/>
          </v:shape>
          <o:OLEObject Type="Embed" ProgID="Excel.Sheet.12" ShapeID="_x0000_i1025" DrawAspect="Content" ObjectID="_1720010603" r:id="rId13"/>
        </w:object>
      </w:r>
    </w:p>
    <w:p w14:paraId="2CFBB9E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5017103B"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FD68E5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051E559A"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77C6B3CF"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1CECF540"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9896533"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826B049"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3F45A0BC"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6D341952" w14:textId="77777777" w:rsidR="0089151C" w:rsidRPr="0089151C" w:rsidRDefault="0089151C" w:rsidP="0089151C">
      <w:pPr>
        <w:spacing w:after="0" w:line="240" w:lineRule="auto"/>
        <w:jc w:val="center"/>
        <w:rPr>
          <w:rFonts w:ascii="Arial" w:eastAsia="Times New Roman" w:hAnsi="Arial" w:cs="Arial"/>
          <w:sz w:val="20"/>
          <w:szCs w:val="20"/>
          <w:lang w:val="es-ES" w:eastAsia="es-ES"/>
        </w:rPr>
      </w:pPr>
    </w:p>
    <w:p w14:paraId="44AE5097" w14:textId="77777777" w:rsidR="0089151C" w:rsidRDefault="0089151C" w:rsidP="00CB41C4">
      <w:pPr>
        <w:tabs>
          <w:tab w:val="left" w:leader="underscore" w:pos="9639"/>
        </w:tabs>
        <w:spacing w:after="0" w:line="240" w:lineRule="auto"/>
        <w:jc w:val="both"/>
        <w:rPr>
          <w:rFonts w:cs="Calibri"/>
        </w:rPr>
      </w:pPr>
    </w:p>
    <w:sectPr w:rsidR="0089151C" w:rsidSect="00AC3723">
      <w:headerReference w:type="default" r:id="rId14"/>
      <w:footerReference w:type="default" r:id="rId15"/>
      <w:pgSz w:w="15840" w:h="12240" w:orient="landscape" w:code="1"/>
      <w:pgMar w:top="567" w:right="720" w:bottom="284" w:left="737"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FE82D" w14:textId="77777777" w:rsidR="00FE4F75" w:rsidRDefault="00FE4F75" w:rsidP="00E00323">
      <w:pPr>
        <w:spacing w:after="0" w:line="240" w:lineRule="auto"/>
      </w:pPr>
      <w:r>
        <w:separator/>
      </w:r>
    </w:p>
  </w:endnote>
  <w:endnote w:type="continuationSeparator" w:id="0">
    <w:p w14:paraId="3604029C" w14:textId="77777777" w:rsidR="00FE4F75" w:rsidRDefault="00FE4F7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18FBDFF3" w:rsidR="0012405A" w:rsidRDefault="0012405A">
        <w:pPr>
          <w:pStyle w:val="Piedepgina"/>
          <w:jc w:val="right"/>
        </w:pPr>
        <w:r>
          <w:fldChar w:fldCharType="begin"/>
        </w:r>
        <w:r>
          <w:instrText>PAGE   \* MERGEFORMAT</w:instrText>
        </w:r>
        <w:r>
          <w:fldChar w:fldCharType="separate"/>
        </w:r>
        <w:r w:rsidR="00837839" w:rsidRPr="00837839">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10DE4" w14:textId="77777777" w:rsidR="00FE4F75" w:rsidRDefault="00FE4F75" w:rsidP="00E00323">
      <w:pPr>
        <w:spacing w:after="0" w:line="240" w:lineRule="auto"/>
      </w:pPr>
      <w:r>
        <w:separator/>
      </w:r>
    </w:p>
  </w:footnote>
  <w:footnote w:type="continuationSeparator" w:id="0">
    <w:p w14:paraId="1B617836" w14:textId="77777777" w:rsidR="00FE4F75" w:rsidRDefault="00FE4F75"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4A21F049" w:rsidR="00154BA3" w:rsidRDefault="00E46E7C" w:rsidP="00A4610E">
    <w:pPr>
      <w:pStyle w:val="Encabezado"/>
      <w:spacing w:after="0" w:line="240" w:lineRule="auto"/>
      <w:jc w:val="center"/>
    </w:pPr>
    <w:r>
      <w:t>INSTITUTO TECNOLOGICO SUPERIOR DE SALVATIERRA</w:t>
    </w:r>
  </w:p>
  <w:p w14:paraId="7A5FDDD0" w14:textId="1D46D861" w:rsidR="00F415DA" w:rsidRDefault="005D0FE7" w:rsidP="00F415DA">
    <w:pPr>
      <w:pStyle w:val="Encabezado"/>
      <w:spacing w:after="0" w:line="240" w:lineRule="auto"/>
      <w:jc w:val="center"/>
    </w:pPr>
    <w:r>
      <w:t xml:space="preserve">CORRESPONDINTES AL 30 </w:t>
    </w:r>
    <w:r w:rsidR="00762804">
      <w:t>DE JUNI</w:t>
    </w:r>
    <w:r>
      <w:t>O DE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3A62C62"/>
    <w:multiLevelType w:val="hybridMultilevel"/>
    <w:tmpl w:val="130284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51157"/>
    <w:rsid w:val="00057A28"/>
    <w:rsid w:val="000632A9"/>
    <w:rsid w:val="00084EAE"/>
    <w:rsid w:val="00091CE6"/>
    <w:rsid w:val="000B7810"/>
    <w:rsid w:val="000C3365"/>
    <w:rsid w:val="00104AEB"/>
    <w:rsid w:val="0012405A"/>
    <w:rsid w:val="00154BA3"/>
    <w:rsid w:val="00162940"/>
    <w:rsid w:val="001816FD"/>
    <w:rsid w:val="00196106"/>
    <w:rsid w:val="001973A2"/>
    <w:rsid w:val="001B69B8"/>
    <w:rsid w:val="001C75F2"/>
    <w:rsid w:val="001D2063"/>
    <w:rsid w:val="001D43E9"/>
    <w:rsid w:val="00297D2A"/>
    <w:rsid w:val="002F4CB1"/>
    <w:rsid w:val="00325165"/>
    <w:rsid w:val="003453CA"/>
    <w:rsid w:val="00394218"/>
    <w:rsid w:val="003A1599"/>
    <w:rsid w:val="003E15A6"/>
    <w:rsid w:val="003E1E17"/>
    <w:rsid w:val="004053D3"/>
    <w:rsid w:val="00435A87"/>
    <w:rsid w:val="004A58C8"/>
    <w:rsid w:val="004D55E0"/>
    <w:rsid w:val="004E1496"/>
    <w:rsid w:val="004F1296"/>
    <w:rsid w:val="0054701E"/>
    <w:rsid w:val="005D0FE7"/>
    <w:rsid w:val="005D209F"/>
    <w:rsid w:val="005D3E43"/>
    <w:rsid w:val="005E231E"/>
    <w:rsid w:val="006257E1"/>
    <w:rsid w:val="00657009"/>
    <w:rsid w:val="00681C79"/>
    <w:rsid w:val="00757AE3"/>
    <w:rsid w:val="007610BC"/>
    <w:rsid w:val="00762804"/>
    <w:rsid w:val="007714AB"/>
    <w:rsid w:val="007D1E76"/>
    <w:rsid w:val="007D4484"/>
    <w:rsid w:val="00837839"/>
    <w:rsid w:val="00862795"/>
    <w:rsid w:val="0086459F"/>
    <w:rsid w:val="008808DB"/>
    <w:rsid w:val="0089151C"/>
    <w:rsid w:val="008C3BB8"/>
    <w:rsid w:val="008E076C"/>
    <w:rsid w:val="008F495C"/>
    <w:rsid w:val="0092765C"/>
    <w:rsid w:val="009702EC"/>
    <w:rsid w:val="00A3145C"/>
    <w:rsid w:val="00A4610E"/>
    <w:rsid w:val="00A730E0"/>
    <w:rsid w:val="00AA41E5"/>
    <w:rsid w:val="00AB722B"/>
    <w:rsid w:val="00AC3723"/>
    <w:rsid w:val="00AD66A3"/>
    <w:rsid w:val="00AE1F6A"/>
    <w:rsid w:val="00B8038C"/>
    <w:rsid w:val="00BA0257"/>
    <w:rsid w:val="00C97E1E"/>
    <w:rsid w:val="00CB41C4"/>
    <w:rsid w:val="00CD3524"/>
    <w:rsid w:val="00CE3613"/>
    <w:rsid w:val="00CF1316"/>
    <w:rsid w:val="00D13C44"/>
    <w:rsid w:val="00D26AFB"/>
    <w:rsid w:val="00D95C19"/>
    <w:rsid w:val="00D975B1"/>
    <w:rsid w:val="00DE774A"/>
    <w:rsid w:val="00E00323"/>
    <w:rsid w:val="00E31035"/>
    <w:rsid w:val="00E46E7C"/>
    <w:rsid w:val="00E50B53"/>
    <w:rsid w:val="00E74967"/>
    <w:rsid w:val="00EA37F5"/>
    <w:rsid w:val="00EA7915"/>
    <w:rsid w:val="00F02B9E"/>
    <w:rsid w:val="00F17BD1"/>
    <w:rsid w:val="00F3665C"/>
    <w:rsid w:val="00F415DA"/>
    <w:rsid w:val="00F46719"/>
    <w:rsid w:val="00F54F6F"/>
    <w:rsid w:val="00F63C97"/>
    <w:rsid w:val="00F91883"/>
    <w:rsid w:val="00FC443C"/>
    <w:rsid w:val="00FE4F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Hoja_de_c_lculo_de_Microsoft_Excel1.xls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2458832-F972-41E7-AFF3-6487B8DE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13889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2022-01-19T17:28:00Z</cp:lastPrinted>
  <dcterms:created xsi:type="dcterms:W3CDTF">2022-07-22T20:57:00Z</dcterms:created>
  <dcterms:modified xsi:type="dcterms:W3CDTF">2022-07-22T20:57:00Z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